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A86FC8F" w14:textId="77777777" w:rsidR="0059779C" w:rsidRDefault="0059779C" w:rsidP="00A13D41">
      <w:pPr>
        <w:suppressLineNumbers/>
        <w:jc w:val="center"/>
        <w:rPr>
          <w:rFonts w:ascii="Times New Roman" w:hAnsi="Times New Roman" w:cs="Times New Roman"/>
          <w:b/>
        </w:rPr>
      </w:pPr>
    </w:p>
    <w:p w14:paraId="417D0D24" w14:textId="77777777" w:rsidR="0059779C" w:rsidRDefault="0059779C" w:rsidP="00A13D41">
      <w:pPr>
        <w:suppressLineNumbers/>
        <w:jc w:val="center"/>
        <w:rPr>
          <w:rFonts w:ascii="Times New Roman" w:hAnsi="Times New Roman" w:cs="Times New Roman"/>
          <w:b/>
        </w:rPr>
      </w:pPr>
    </w:p>
    <w:p w14:paraId="380B639A" w14:textId="77777777" w:rsidR="006D6B7B" w:rsidRPr="00A13D41" w:rsidRDefault="006D6B7B" w:rsidP="00A13D41">
      <w:pPr>
        <w:suppressLineNumbers/>
        <w:jc w:val="center"/>
        <w:rPr>
          <w:rFonts w:ascii="Times New Roman" w:hAnsi="Times New Roman" w:cs="Times New Roman"/>
          <w:b/>
        </w:rPr>
      </w:pPr>
      <w:r w:rsidRPr="00A13D41">
        <w:rPr>
          <w:rFonts w:ascii="Times New Roman" w:hAnsi="Times New Roman" w:cs="Times New Roman"/>
          <w:b/>
        </w:rPr>
        <w:t>AMERICAN BAR ASSOCIATION</w:t>
      </w:r>
    </w:p>
    <w:p w14:paraId="27F8CBFC" w14:textId="77777777" w:rsidR="006D6B7B" w:rsidRPr="00A13D41" w:rsidRDefault="006D6B7B" w:rsidP="00A13D41">
      <w:pPr>
        <w:suppressLineNumbers/>
        <w:jc w:val="center"/>
        <w:rPr>
          <w:rFonts w:ascii="Times New Roman" w:hAnsi="Times New Roman" w:cs="Times New Roman"/>
        </w:rPr>
      </w:pPr>
    </w:p>
    <w:p w14:paraId="5E7742CC" w14:textId="342A3052" w:rsidR="006A23B5" w:rsidRPr="00A13D41" w:rsidRDefault="001A46DC" w:rsidP="00A13D41">
      <w:pPr>
        <w:suppressLineNumbers/>
        <w:jc w:val="center"/>
        <w:rPr>
          <w:rFonts w:ascii="Times New Roman" w:hAnsi="Times New Roman" w:cs="Times New Roman"/>
          <w:b/>
        </w:rPr>
      </w:pPr>
      <w:r>
        <w:rPr>
          <w:rFonts w:ascii="Times New Roman" w:hAnsi="Times New Roman" w:cs="Times New Roman"/>
          <w:b/>
        </w:rPr>
        <w:t>ADOPTED BY THE HOUSE OF DELEGATES</w:t>
      </w:r>
    </w:p>
    <w:p w14:paraId="204A6ECB" w14:textId="77777777" w:rsidR="006A23B5" w:rsidRPr="00A13D41" w:rsidRDefault="006A23B5" w:rsidP="00A13D41">
      <w:pPr>
        <w:suppressLineNumbers/>
        <w:jc w:val="center"/>
        <w:rPr>
          <w:rFonts w:ascii="Times New Roman" w:hAnsi="Times New Roman" w:cs="Times New Roman"/>
          <w:b/>
        </w:rPr>
      </w:pPr>
    </w:p>
    <w:p w14:paraId="0EB64F80" w14:textId="283405D0" w:rsidR="006D6B7B" w:rsidRPr="00A13D41" w:rsidRDefault="001A46DC" w:rsidP="00A13D41">
      <w:pPr>
        <w:suppressLineNumbers/>
        <w:jc w:val="center"/>
        <w:rPr>
          <w:rFonts w:ascii="Times New Roman" w:hAnsi="Times New Roman" w:cs="Times New Roman"/>
          <w:b/>
        </w:rPr>
      </w:pPr>
      <w:r>
        <w:rPr>
          <w:rFonts w:ascii="Times New Roman" w:hAnsi="Times New Roman" w:cs="Times New Roman"/>
          <w:b/>
        </w:rPr>
        <w:t>FEBRUARY 8, 2016</w:t>
      </w:r>
    </w:p>
    <w:p w14:paraId="2A3D7EA9" w14:textId="77777777" w:rsidR="006D6B7B" w:rsidRPr="009259AB" w:rsidRDefault="006D6B7B" w:rsidP="00A13D41">
      <w:pPr>
        <w:suppressLineNumbers/>
        <w:rPr>
          <w:rFonts w:ascii="Times New Roman" w:hAnsi="Times New Roman" w:cs="Times New Roman"/>
        </w:rPr>
      </w:pPr>
    </w:p>
    <w:p w14:paraId="1430F410" w14:textId="11E66A0F" w:rsidR="006D6B7B" w:rsidRPr="009259AB" w:rsidRDefault="006D6B7B" w:rsidP="00A13D41">
      <w:pPr>
        <w:suppressLineNumbers/>
        <w:jc w:val="center"/>
        <w:rPr>
          <w:rFonts w:ascii="Times New Roman" w:hAnsi="Times New Roman" w:cs="Times New Roman"/>
          <w:b/>
          <w:u w:val="single"/>
        </w:rPr>
      </w:pPr>
      <w:r w:rsidRPr="009259AB">
        <w:rPr>
          <w:rFonts w:ascii="Times New Roman" w:hAnsi="Times New Roman" w:cs="Times New Roman"/>
          <w:b/>
          <w:u w:val="single"/>
        </w:rPr>
        <w:t>RE</w:t>
      </w:r>
      <w:r w:rsidR="002B270F">
        <w:rPr>
          <w:rFonts w:ascii="Times New Roman" w:hAnsi="Times New Roman" w:cs="Times New Roman"/>
          <w:b/>
          <w:u w:val="single"/>
        </w:rPr>
        <w:t>SOLU</w:t>
      </w:r>
      <w:r w:rsidRPr="009259AB">
        <w:rPr>
          <w:rFonts w:ascii="Times New Roman" w:hAnsi="Times New Roman" w:cs="Times New Roman"/>
          <w:b/>
          <w:u w:val="single"/>
        </w:rPr>
        <w:t>TION</w:t>
      </w:r>
    </w:p>
    <w:p w14:paraId="350FB50C" w14:textId="77777777" w:rsidR="006D6B7B" w:rsidRPr="009259AB" w:rsidRDefault="006D6B7B" w:rsidP="00A13D41">
      <w:pPr>
        <w:suppressLineNumbers/>
        <w:rPr>
          <w:rFonts w:ascii="Times New Roman" w:hAnsi="Times New Roman" w:cs="Times New Roman"/>
        </w:rPr>
      </w:pPr>
    </w:p>
    <w:p w14:paraId="34FC8F21" w14:textId="77777777" w:rsidR="001A46DC" w:rsidRDefault="001A46DC" w:rsidP="006D6B7B">
      <w:pPr>
        <w:rPr>
          <w:rFonts w:ascii="Times New Roman" w:hAnsi="Times New Roman" w:cs="Times New Roman"/>
        </w:rPr>
      </w:pPr>
    </w:p>
    <w:p w14:paraId="36A15FC8" w14:textId="5EAACD03" w:rsidR="006D6B7B" w:rsidRPr="009259AB" w:rsidRDefault="006D6B7B" w:rsidP="001A46DC">
      <w:pPr>
        <w:jc w:val="both"/>
        <w:rPr>
          <w:rFonts w:ascii="Times New Roman" w:hAnsi="Times New Roman" w:cs="Times New Roman"/>
        </w:rPr>
      </w:pPr>
      <w:r w:rsidRPr="009259AB">
        <w:rPr>
          <w:rFonts w:ascii="Times New Roman" w:hAnsi="Times New Roman" w:cs="Times New Roman"/>
        </w:rPr>
        <w:t xml:space="preserve">RESOLVED, </w:t>
      </w:r>
      <w:proofErr w:type="gramStart"/>
      <w:r w:rsidRPr="009259AB">
        <w:rPr>
          <w:rFonts w:ascii="Times New Roman" w:hAnsi="Times New Roman" w:cs="Times New Roman"/>
        </w:rPr>
        <w:t>That</w:t>
      </w:r>
      <w:proofErr w:type="gramEnd"/>
      <w:r w:rsidRPr="009259AB">
        <w:rPr>
          <w:rFonts w:ascii="Times New Roman" w:hAnsi="Times New Roman" w:cs="Times New Roman"/>
        </w:rPr>
        <w:t xml:space="preserve"> the American Bar Association urges Congress to </w:t>
      </w:r>
      <w:r w:rsidR="002C61B3">
        <w:rPr>
          <w:rFonts w:ascii="Times New Roman" w:hAnsi="Times New Roman" w:cs="Times New Roman"/>
        </w:rPr>
        <w:t>amend</w:t>
      </w:r>
      <w:r w:rsidRPr="009259AB">
        <w:rPr>
          <w:rFonts w:ascii="Times New Roman" w:hAnsi="Times New Roman" w:cs="Times New Roman"/>
        </w:rPr>
        <w:t xml:space="preserve"> the rulemaking provisions of the Administrative Procedure Act</w:t>
      </w:r>
      <w:r w:rsidR="002C61B3">
        <w:rPr>
          <w:rFonts w:ascii="Times New Roman" w:hAnsi="Times New Roman" w:cs="Times New Roman"/>
        </w:rPr>
        <w:t xml:space="preserve"> </w:t>
      </w:r>
      <w:r w:rsidR="00F34105">
        <w:rPr>
          <w:rFonts w:ascii="Times New Roman" w:hAnsi="Times New Roman" w:cs="Times New Roman"/>
        </w:rPr>
        <w:t>(“APA”)</w:t>
      </w:r>
      <w:r w:rsidRPr="009259AB">
        <w:rPr>
          <w:rFonts w:ascii="Times New Roman" w:hAnsi="Times New Roman" w:cs="Times New Roman"/>
        </w:rPr>
        <w:t>.</w:t>
      </w:r>
      <w:r w:rsidR="0041218E">
        <w:rPr>
          <w:rFonts w:ascii="Times New Roman" w:hAnsi="Times New Roman" w:cs="Times New Roman"/>
        </w:rPr>
        <w:t xml:space="preserve">  </w:t>
      </w:r>
      <w:r w:rsidR="002B270F">
        <w:rPr>
          <w:rFonts w:ascii="Times New Roman" w:hAnsi="Times New Roman" w:cs="Times New Roman"/>
        </w:rPr>
        <w:t>Specifically, Congress sh</w:t>
      </w:r>
      <w:r w:rsidRPr="009259AB">
        <w:rPr>
          <w:rFonts w:ascii="Times New Roman" w:hAnsi="Times New Roman" w:cs="Times New Roman"/>
        </w:rPr>
        <w:t>ould:</w:t>
      </w:r>
    </w:p>
    <w:p w14:paraId="07D6626B" w14:textId="77777777" w:rsidR="0032682C" w:rsidRPr="009259AB" w:rsidRDefault="0032682C" w:rsidP="001A46DC">
      <w:pPr>
        <w:pStyle w:val="PlainText"/>
        <w:jc w:val="both"/>
        <w:rPr>
          <w:rFonts w:ascii="Times New Roman" w:hAnsi="Times New Roman" w:cs="Times New Roman"/>
          <w:sz w:val="24"/>
          <w:szCs w:val="24"/>
        </w:rPr>
      </w:pPr>
    </w:p>
    <w:p w14:paraId="719837F1" w14:textId="5987DCB5" w:rsidR="009259AB" w:rsidRPr="009259AB" w:rsidRDefault="00BB3F5E" w:rsidP="001A46DC">
      <w:pPr>
        <w:shd w:val="clear" w:color="auto" w:fill="FFFFFF"/>
        <w:jc w:val="both"/>
        <w:rPr>
          <w:rFonts w:ascii="Times New Roman" w:eastAsia="Times New Roman" w:hAnsi="Times New Roman" w:cs="Times New Roman"/>
        </w:rPr>
      </w:pPr>
      <w:r w:rsidRPr="009259AB">
        <w:rPr>
          <w:rFonts w:ascii="Times New Roman" w:hAnsi="Times New Roman" w:cs="Times New Roman"/>
        </w:rPr>
        <w:t xml:space="preserve">1. </w:t>
      </w:r>
      <w:r w:rsidR="009259AB" w:rsidRPr="009259AB">
        <w:rPr>
          <w:rFonts w:ascii="Times New Roman" w:eastAsia="Times New Roman" w:hAnsi="Times New Roman" w:cs="Times New Roman"/>
        </w:rPr>
        <w:t xml:space="preserve">Codify the requirement that an agency fully disclose data, studies, and </w:t>
      </w:r>
      <w:r w:rsidR="00F81DFA">
        <w:rPr>
          <w:rFonts w:ascii="Times New Roman" w:eastAsia="Times New Roman" w:hAnsi="Times New Roman" w:cs="Times New Roman"/>
        </w:rPr>
        <w:t xml:space="preserve">other </w:t>
      </w:r>
      <w:r w:rsidR="009259AB" w:rsidRPr="009259AB">
        <w:rPr>
          <w:rFonts w:ascii="Times New Roman" w:eastAsia="Times New Roman" w:hAnsi="Times New Roman" w:cs="Times New Roman"/>
        </w:rPr>
        <w:t>information upon which it proposes to rely in connection with a rulemaking, including factual material that is critical to the rule that becomes available to the agency after the comment period has closed and on which the agency proposes to rely</w:t>
      </w:r>
      <w:r w:rsidR="00797E75">
        <w:rPr>
          <w:rFonts w:ascii="Times New Roman" w:eastAsia="Times New Roman" w:hAnsi="Times New Roman" w:cs="Times New Roman"/>
        </w:rPr>
        <w:t>;</w:t>
      </w:r>
      <w:r w:rsidR="009259AB" w:rsidRPr="009259AB">
        <w:rPr>
          <w:rFonts w:ascii="Times New Roman" w:eastAsia="Times New Roman" w:hAnsi="Times New Roman" w:cs="Times New Roman"/>
        </w:rPr>
        <w:t xml:space="preserve">  </w:t>
      </w:r>
    </w:p>
    <w:p w14:paraId="39BCB70F" w14:textId="77777777" w:rsidR="00BB3F5E" w:rsidRPr="009259AB" w:rsidRDefault="00BB3F5E" w:rsidP="001A46DC">
      <w:pPr>
        <w:jc w:val="both"/>
        <w:rPr>
          <w:rFonts w:ascii="Times New Roman" w:hAnsi="Times New Roman" w:cs="Times New Roman"/>
        </w:rPr>
      </w:pPr>
    </w:p>
    <w:p w14:paraId="2CABC612" w14:textId="4C2AE5D1" w:rsidR="009259AB" w:rsidRPr="009259AB" w:rsidRDefault="008246F1" w:rsidP="001A46DC">
      <w:pPr>
        <w:pStyle w:val="PlainText"/>
        <w:jc w:val="both"/>
        <w:rPr>
          <w:rFonts w:ascii="Times New Roman" w:hAnsi="Times New Roman" w:cs="Times New Roman"/>
          <w:sz w:val="24"/>
          <w:szCs w:val="24"/>
        </w:rPr>
      </w:pPr>
      <w:r w:rsidRPr="009259AB">
        <w:rPr>
          <w:rFonts w:ascii="Times New Roman" w:hAnsi="Times New Roman" w:cs="Times New Roman"/>
          <w:sz w:val="24"/>
          <w:szCs w:val="24"/>
        </w:rPr>
        <w:t xml:space="preserve">2. </w:t>
      </w:r>
      <w:r w:rsidR="009259AB" w:rsidRPr="009259AB">
        <w:rPr>
          <w:rFonts w:ascii="Times New Roman" w:eastAsia="Times New Roman" w:hAnsi="Times New Roman" w:cs="Times New Roman"/>
          <w:sz w:val="24"/>
          <w:szCs w:val="24"/>
        </w:rPr>
        <w:t>Provide for the systematic development by the agency</w:t>
      </w:r>
      <w:r w:rsidR="00435ACD">
        <w:rPr>
          <w:rFonts w:ascii="Times New Roman" w:eastAsia="Times New Roman" w:hAnsi="Times New Roman" w:cs="Times New Roman"/>
          <w:sz w:val="24"/>
          <w:szCs w:val="24"/>
        </w:rPr>
        <w:t xml:space="preserve"> in each rulemaking</w:t>
      </w:r>
      <w:r w:rsidR="009259AB" w:rsidRPr="009259AB">
        <w:rPr>
          <w:rFonts w:ascii="Times New Roman" w:eastAsia="Times New Roman" w:hAnsi="Times New Roman" w:cs="Times New Roman"/>
          <w:sz w:val="24"/>
          <w:szCs w:val="24"/>
        </w:rPr>
        <w:t xml:space="preserve"> of a rulemaking record as a basis for agency factual determinations and a record for judicial review.  The record should include any material that the agency considered during the rulemaking, in addition to materials required by law to be included in the record, as well as all comments and materials submitted to the agency during the comment period.  The record should be accessible to the public </w:t>
      </w:r>
      <w:r w:rsidR="00686214">
        <w:rPr>
          <w:rFonts w:ascii="Times New Roman" w:eastAsia="Times New Roman" w:hAnsi="Times New Roman" w:cs="Times New Roman"/>
          <w:sz w:val="24"/>
          <w:szCs w:val="24"/>
        </w:rPr>
        <w:t xml:space="preserve">via an </w:t>
      </w:r>
      <w:r w:rsidR="009259AB" w:rsidRPr="009259AB">
        <w:rPr>
          <w:rFonts w:ascii="Times New Roman" w:eastAsia="Times New Roman" w:hAnsi="Times New Roman" w:cs="Times New Roman"/>
          <w:sz w:val="24"/>
          <w:szCs w:val="24"/>
        </w:rPr>
        <w:t>online</w:t>
      </w:r>
      <w:r w:rsidR="00686214">
        <w:rPr>
          <w:rFonts w:ascii="Times New Roman" w:eastAsia="Times New Roman" w:hAnsi="Times New Roman" w:cs="Times New Roman"/>
          <w:sz w:val="24"/>
          <w:szCs w:val="24"/>
        </w:rPr>
        <w:t xml:space="preserve"> docket</w:t>
      </w:r>
      <w:r w:rsidR="009259AB" w:rsidRPr="009259AB">
        <w:rPr>
          <w:rFonts w:ascii="Times New Roman" w:eastAsia="Times New Roman" w:hAnsi="Times New Roman" w:cs="Times New Roman"/>
          <w:sz w:val="24"/>
          <w:szCs w:val="24"/>
        </w:rPr>
        <w:t>, with limited exceptions allowed, such as for privileged, copyrighted, or sensitive material</w:t>
      </w:r>
      <w:r w:rsidR="00797E75">
        <w:rPr>
          <w:rFonts w:ascii="Times New Roman" w:eastAsia="Times New Roman" w:hAnsi="Times New Roman" w:cs="Times New Roman"/>
          <w:sz w:val="24"/>
          <w:szCs w:val="24"/>
        </w:rPr>
        <w:t>;</w:t>
      </w:r>
    </w:p>
    <w:p w14:paraId="54DA5E94" w14:textId="77777777" w:rsidR="009259AB" w:rsidRPr="009259AB" w:rsidRDefault="009259AB" w:rsidP="001A46DC">
      <w:pPr>
        <w:jc w:val="both"/>
        <w:rPr>
          <w:rFonts w:ascii="Times New Roman" w:hAnsi="Times New Roman" w:cs="Times New Roman"/>
        </w:rPr>
      </w:pPr>
    </w:p>
    <w:p w14:paraId="17C78741" w14:textId="5E3F46E3" w:rsidR="00BB3F5E" w:rsidRPr="009259AB" w:rsidRDefault="008246F1" w:rsidP="001A46DC">
      <w:pPr>
        <w:jc w:val="both"/>
        <w:rPr>
          <w:rFonts w:ascii="Times New Roman" w:hAnsi="Times New Roman" w:cs="Times New Roman"/>
        </w:rPr>
      </w:pPr>
      <w:r w:rsidRPr="009259AB">
        <w:rPr>
          <w:rFonts w:ascii="Times New Roman" w:hAnsi="Times New Roman" w:cs="Times New Roman"/>
        </w:rPr>
        <w:t>3</w:t>
      </w:r>
      <w:r w:rsidR="00BB3F5E" w:rsidRPr="009259AB">
        <w:rPr>
          <w:rFonts w:ascii="Times New Roman" w:hAnsi="Times New Roman" w:cs="Times New Roman"/>
        </w:rPr>
        <w:t xml:space="preserve">. Establish a minimum comment period </w:t>
      </w:r>
      <w:r w:rsidR="00DE73BB" w:rsidRPr="009259AB">
        <w:rPr>
          <w:rFonts w:ascii="Times New Roman" w:hAnsi="Times New Roman" w:cs="Times New Roman"/>
        </w:rPr>
        <w:t>of 60 days for “major” rules</w:t>
      </w:r>
      <w:r w:rsidR="00A77FB8">
        <w:rPr>
          <w:rFonts w:ascii="Times New Roman" w:hAnsi="Times New Roman" w:cs="Times New Roman"/>
        </w:rPr>
        <w:t xml:space="preserve"> as defined by the Congressional Review Act</w:t>
      </w:r>
      <w:r w:rsidR="002B270F">
        <w:rPr>
          <w:rFonts w:ascii="Times New Roman" w:hAnsi="Times New Roman" w:cs="Times New Roman"/>
        </w:rPr>
        <w:t>,</w:t>
      </w:r>
      <w:r w:rsidR="009259AB" w:rsidRPr="009259AB">
        <w:rPr>
          <w:rFonts w:ascii="Times New Roman" w:hAnsi="Times New Roman" w:cs="Times New Roman"/>
        </w:rPr>
        <w:t xml:space="preserve"> subject to </w:t>
      </w:r>
      <w:r w:rsidR="002B270F">
        <w:rPr>
          <w:rFonts w:ascii="Times New Roman" w:hAnsi="Times New Roman" w:cs="Times New Roman"/>
        </w:rPr>
        <w:t xml:space="preserve">an </w:t>
      </w:r>
      <w:r w:rsidR="009259AB" w:rsidRPr="009259AB">
        <w:rPr>
          <w:rFonts w:ascii="Times New Roman" w:hAnsi="Times New Roman" w:cs="Times New Roman"/>
        </w:rPr>
        <w:t>exemption for good cause</w:t>
      </w:r>
      <w:r w:rsidR="00797E75">
        <w:rPr>
          <w:rFonts w:ascii="Times New Roman" w:hAnsi="Times New Roman" w:cs="Times New Roman"/>
        </w:rPr>
        <w:t>;</w:t>
      </w:r>
    </w:p>
    <w:p w14:paraId="5C9C830E" w14:textId="77777777" w:rsidR="00BB3F5E" w:rsidRPr="009259AB" w:rsidRDefault="00BB3F5E" w:rsidP="001A46DC">
      <w:pPr>
        <w:jc w:val="both"/>
        <w:rPr>
          <w:rFonts w:ascii="Times New Roman" w:hAnsi="Times New Roman" w:cs="Times New Roman"/>
        </w:rPr>
      </w:pPr>
    </w:p>
    <w:p w14:paraId="3FCE181C" w14:textId="42F82B59" w:rsidR="00DE73BB" w:rsidRPr="00457D61" w:rsidRDefault="008246F1" w:rsidP="001A46DC">
      <w:pPr>
        <w:jc w:val="both"/>
        <w:rPr>
          <w:rFonts w:ascii="Times New Roman" w:hAnsi="Times New Roman"/>
          <w:u w:val="single"/>
        </w:rPr>
      </w:pPr>
      <w:r w:rsidRPr="009259AB">
        <w:rPr>
          <w:rFonts w:ascii="Times New Roman" w:hAnsi="Times New Roman" w:cs="Times New Roman"/>
        </w:rPr>
        <w:t>4</w:t>
      </w:r>
      <w:r w:rsidR="00BB3F5E" w:rsidRPr="009259AB">
        <w:rPr>
          <w:rFonts w:ascii="Times New Roman" w:hAnsi="Times New Roman" w:cs="Times New Roman"/>
        </w:rPr>
        <w:t>. Clarify</w:t>
      </w:r>
      <w:r w:rsidR="00DE73BB" w:rsidRPr="009259AB">
        <w:rPr>
          <w:rFonts w:ascii="Times New Roman" w:hAnsi="Times New Roman" w:cs="Times New Roman"/>
        </w:rPr>
        <w:t xml:space="preserve"> the</w:t>
      </w:r>
      <w:r w:rsidR="00BB3F5E" w:rsidRPr="009259AB">
        <w:rPr>
          <w:rFonts w:ascii="Times New Roman" w:hAnsi="Times New Roman" w:cs="Times New Roman"/>
        </w:rPr>
        <w:t xml:space="preserve"> definition of “rule”</w:t>
      </w:r>
      <w:r w:rsidR="00DE73BB" w:rsidRPr="009259AB">
        <w:rPr>
          <w:rFonts w:ascii="Times New Roman" w:hAnsi="Times New Roman" w:cs="Times New Roman"/>
        </w:rPr>
        <w:t xml:space="preserve"> by deleting the phrase</w:t>
      </w:r>
      <w:r w:rsidR="00B14AFF">
        <w:rPr>
          <w:rFonts w:ascii="Times New Roman" w:hAnsi="Times New Roman" w:cs="Times New Roman"/>
        </w:rPr>
        <w:t>s</w:t>
      </w:r>
      <w:r w:rsidR="00DE73BB" w:rsidRPr="009259AB">
        <w:rPr>
          <w:rFonts w:ascii="Times New Roman" w:hAnsi="Times New Roman" w:cs="Times New Roman"/>
        </w:rPr>
        <w:t xml:space="preserve"> “or particular” and “and future effect”</w:t>
      </w:r>
      <w:r w:rsidR="00797E75">
        <w:rPr>
          <w:rFonts w:ascii="Times New Roman" w:hAnsi="Times New Roman" w:cs="Times New Roman"/>
        </w:rPr>
        <w:t>;</w:t>
      </w:r>
      <w:r w:rsidR="00DE73BB" w:rsidRPr="009259AB">
        <w:rPr>
          <w:rFonts w:ascii="Times New Roman" w:hAnsi="Times New Roman" w:cs="Times New Roman"/>
        </w:rPr>
        <w:t xml:space="preserve"> </w:t>
      </w:r>
      <w:r w:rsidR="00797E75">
        <w:rPr>
          <w:rFonts w:ascii="Times New Roman" w:hAnsi="Times New Roman" w:cs="Times New Roman"/>
        </w:rPr>
        <w:t>u</w:t>
      </w:r>
      <w:r w:rsidR="002F5953" w:rsidRPr="009259AB">
        <w:rPr>
          <w:rFonts w:ascii="Times New Roman" w:hAnsi="Times New Roman" w:cs="Times New Roman"/>
        </w:rPr>
        <w:t xml:space="preserve">pdate the </w:t>
      </w:r>
      <w:r w:rsidR="002F5953" w:rsidRPr="009259AB">
        <w:rPr>
          <w:rFonts w:ascii="Times New Roman" w:eastAsia="Times New Roman" w:hAnsi="Times New Roman" w:cs="Times New Roman"/>
          <w:shd w:val="clear" w:color="auto" w:fill="FFFFFF"/>
        </w:rPr>
        <w:t>term “interpretative rules” to “interpretive rules”</w:t>
      </w:r>
      <w:r w:rsidR="00797E75">
        <w:rPr>
          <w:rFonts w:ascii="Times New Roman" w:eastAsia="Times New Roman" w:hAnsi="Times New Roman" w:cs="Times New Roman"/>
          <w:shd w:val="clear" w:color="auto" w:fill="FFFFFF"/>
        </w:rPr>
        <w:t>;</w:t>
      </w:r>
      <w:r w:rsidR="002F5953">
        <w:rPr>
          <w:rFonts w:ascii="Times New Roman" w:eastAsia="Times New Roman" w:hAnsi="Times New Roman" w:cs="Times New Roman"/>
          <w:shd w:val="clear" w:color="auto" w:fill="FFFFFF"/>
        </w:rPr>
        <w:t xml:space="preserve"> </w:t>
      </w:r>
      <w:r w:rsidR="00797E75">
        <w:rPr>
          <w:rFonts w:ascii="Times New Roman" w:hAnsi="Times New Roman" w:cs="Times New Roman"/>
        </w:rPr>
        <w:t xml:space="preserve">and </w:t>
      </w:r>
      <w:r w:rsidR="001D142A">
        <w:rPr>
          <w:rFonts w:ascii="Times New Roman" w:hAnsi="Times New Roman" w:cs="Times New Roman"/>
        </w:rPr>
        <w:t>substitute</w:t>
      </w:r>
      <w:r w:rsidR="002F5953" w:rsidRPr="00332AAB">
        <w:rPr>
          <w:rFonts w:ascii="Times New Roman" w:hAnsi="Times New Roman" w:cs="Times New Roman"/>
        </w:rPr>
        <w:t xml:space="preserve"> </w:t>
      </w:r>
      <w:r w:rsidR="00435ACD" w:rsidRPr="00332AAB">
        <w:rPr>
          <w:rFonts w:ascii="Times New Roman" w:hAnsi="Times New Roman" w:cs="Times New Roman"/>
        </w:rPr>
        <w:t>“rulemaking” for “rule making”</w:t>
      </w:r>
      <w:r w:rsidR="001D142A" w:rsidRPr="00332AAB">
        <w:rPr>
          <w:rFonts w:ascii="Times New Roman" w:hAnsi="Times New Roman" w:cs="Times New Roman"/>
        </w:rPr>
        <w:t xml:space="preserve"> through</w:t>
      </w:r>
      <w:r w:rsidR="00797E75">
        <w:rPr>
          <w:rFonts w:ascii="Times New Roman" w:hAnsi="Times New Roman" w:cs="Times New Roman"/>
        </w:rPr>
        <w:t>out</w:t>
      </w:r>
      <w:r w:rsidR="001D142A" w:rsidRPr="00332AAB">
        <w:rPr>
          <w:rFonts w:ascii="Times New Roman" w:hAnsi="Times New Roman" w:cs="Times New Roman"/>
        </w:rPr>
        <w:t xml:space="preserve"> the Act</w:t>
      </w:r>
      <w:r w:rsidR="00797E75">
        <w:rPr>
          <w:rFonts w:ascii="Times New Roman" w:hAnsi="Times New Roman" w:cs="Times New Roman"/>
        </w:rPr>
        <w:t>;</w:t>
      </w:r>
    </w:p>
    <w:p w14:paraId="08C2D43C" w14:textId="77777777" w:rsidR="00DE73BB" w:rsidRPr="009259AB" w:rsidRDefault="00DE73BB" w:rsidP="001A46DC">
      <w:pPr>
        <w:jc w:val="both"/>
        <w:rPr>
          <w:rFonts w:ascii="Times New Roman" w:hAnsi="Times New Roman" w:cs="Times New Roman"/>
        </w:rPr>
      </w:pPr>
    </w:p>
    <w:p w14:paraId="41944D47" w14:textId="7D5E8CA3" w:rsidR="005467D9" w:rsidRPr="009259AB" w:rsidRDefault="00B724E1" w:rsidP="001A46DC">
      <w:pPr>
        <w:pStyle w:val="PlainText"/>
        <w:jc w:val="both"/>
        <w:rPr>
          <w:rFonts w:ascii="Times New Roman" w:hAnsi="Times New Roman" w:cs="Times New Roman"/>
          <w:sz w:val="24"/>
          <w:szCs w:val="24"/>
        </w:rPr>
      </w:pPr>
      <w:r w:rsidRPr="009259AB">
        <w:rPr>
          <w:rFonts w:ascii="Times New Roman" w:hAnsi="Times New Roman" w:cs="Times New Roman"/>
          <w:sz w:val="24"/>
          <w:szCs w:val="24"/>
        </w:rPr>
        <w:t>5</w:t>
      </w:r>
      <w:r w:rsidR="00BB3F5E" w:rsidRPr="009259AB">
        <w:rPr>
          <w:rFonts w:ascii="Times New Roman" w:hAnsi="Times New Roman" w:cs="Times New Roman"/>
          <w:sz w:val="24"/>
          <w:szCs w:val="24"/>
        </w:rPr>
        <w:t xml:space="preserve">. </w:t>
      </w:r>
      <w:r w:rsidR="005467D9" w:rsidRPr="009259AB">
        <w:rPr>
          <w:rFonts w:ascii="Times New Roman" w:hAnsi="Times New Roman" w:cs="Times New Roman"/>
          <w:sz w:val="24"/>
          <w:szCs w:val="24"/>
        </w:rPr>
        <w:t xml:space="preserve">Authorize </w:t>
      </w:r>
      <w:r w:rsidR="00797E75">
        <w:rPr>
          <w:rFonts w:ascii="Times New Roman" w:hAnsi="Times New Roman" w:cs="Times New Roman"/>
          <w:sz w:val="24"/>
          <w:szCs w:val="24"/>
        </w:rPr>
        <w:t xml:space="preserve">a </w:t>
      </w:r>
      <w:r w:rsidR="005467D9" w:rsidRPr="009259AB">
        <w:rPr>
          <w:rFonts w:ascii="Times New Roman" w:hAnsi="Times New Roman" w:cs="Times New Roman"/>
          <w:sz w:val="24"/>
          <w:szCs w:val="24"/>
        </w:rPr>
        <w:t xml:space="preserve">new presidential administration to </w:t>
      </w:r>
      <w:r w:rsidR="001A1011">
        <w:rPr>
          <w:rFonts w:ascii="Times New Roman" w:hAnsi="Times New Roman" w:cs="Times New Roman"/>
          <w:sz w:val="24"/>
          <w:szCs w:val="24"/>
        </w:rPr>
        <w:t>(</w:t>
      </w:r>
      <w:proofErr w:type="spellStart"/>
      <w:r w:rsidR="001A1011">
        <w:rPr>
          <w:rFonts w:ascii="Times New Roman" w:hAnsi="Times New Roman" w:cs="Times New Roman"/>
          <w:sz w:val="24"/>
          <w:szCs w:val="24"/>
        </w:rPr>
        <w:t>i</w:t>
      </w:r>
      <w:proofErr w:type="spellEnd"/>
      <w:r w:rsidR="001A1011">
        <w:rPr>
          <w:rFonts w:ascii="Times New Roman" w:hAnsi="Times New Roman" w:cs="Times New Roman"/>
          <w:sz w:val="24"/>
          <w:szCs w:val="24"/>
        </w:rPr>
        <w:t xml:space="preserve">) </w:t>
      </w:r>
      <w:r w:rsidR="005467D9" w:rsidRPr="009259AB">
        <w:rPr>
          <w:rFonts w:ascii="Times New Roman" w:hAnsi="Times New Roman" w:cs="Times New Roman"/>
          <w:sz w:val="24"/>
          <w:szCs w:val="24"/>
        </w:rPr>
        <w:t xml:space="preserve">delay the effective date of rules finalized </w:t>
      </w:r>
      <w:r w:rsidR="00864F2D">
        <w:rPr>
          <w:rFonts w:ascii="Times New Roman" w:hAnsi="Times New Roman" w:cs="Times New Roman"/>
          <w:sz w:val="24"/>
          <w:szCs w:val="24"/>
        </w:rPr>
        <w:t xml:space="preserve">but not yet effective </w:t>
      </w:r>
      <w:r w:rsidR="005467D9" w:rsidRPr="009259AB">
        <w:rPr>
          <w:rFonts w:ascii="Times New Roman" w:hAnsi="Times New Roman" w:cs="Times New Roman"/>
          <w:sz w:val="24"/>
          <w:szCs w:val="24"/>
        </w:rPr>
        <w:t xml:space="preserve">at the end of the prior administration while </w:t>
      </w:r>
      <w:r w:rsidR="00797E75">
        <w:rPr>
          <w:rFonts w:ascii="Times New Roman" w:hAnsi="Times New Roman" w:cs="Times New Roman"/>
          <w:sz w:val="24"/>
          <w:szCs w:val="24"/>
        </w:rPr>
        <w:t xml:space="preserve">the new administration </w:t>
      </w:r>
      <w:r w:rsidR="005467D9" w:rsidRPr="009259AB">
        <w:rPr>
          <w:rFonts w:ascii="Times New Roman" w:hAnsi="Times New Roman" w:cs="Times New Roman"/>
          <w:sz w:val="24"/>
          <w:szCs w:val="24"/>
        </w:rPr>
        <w:t>examine</w:t>
      </w:r>
      <w:r w:rsidR="00797E75">
        <w:rPr>
          <w:rFonts w:ascii="Times New Roman" w:hAnsi="Times New Roman" w:cs="Times New Roman"/>
          <w:sz w:val="24"/>
          <w:szCs w:val="24"/>
        </w:rPr>
        <w:t>s</w:t>
      </w:r>
      <w:r w:rsidR="005467D9" w:rsidRPr="009259AB">
        <w:rPr>
          <w:rFonts w:ascii="Times New Roman" w:hAnsi="Times New Roman" w:cs="Times New Roman"/>
          <w:sz w:val="24"/>
          <w:szCs w:val="24"/>
        </w:rPr>
        <w:t xml:space="preserve"> the merits</w:t>
      </w:r>
      <w:r w:rsidR="00797E75">
        <w:rPr>
          <w:rFonts w:ascii="Times New Roman" w:hAnsi="Times New Roman" w:cs="Times New Roman"/>
          <w:sz w:val="24"/>
          <w:szCs w:val="24"/>
        </w:rPr>
        <w:t xml:space="preserve"> of those rules</w:t>
      </w:r>
      <w:r w:rsidR="002B270F">
        <w:rPr>
          <w:rFonts w:ascii="Times New Roman" w:hAnsi="Times New Roman" w:cs="Times New Roman"/>
          <w:sz w:val="24"/>
          <w:szCs w:val="24"/>
        </w:rPr>
        <w:t>,</w:t>
      </w:r>
      <w:r w:rsidR="005467D9" w:rsidRPr="009259AB">
        <w:rPr>
          <w:rFonts w:ascii="Times New Roman" w:hAnsi="Times New Roman" w:cs="Times New Roman"/>
          <w:sz w:val="24"/>
          <w:szCs w:val="24"/>
        </w:rPr>
        <w:t xml:space="preserve"> and</w:t>
      </w:r>
      <w:r w:rsidR="00864F2D">
        <w:rPr>
          <w:rFonts w:ascii="Times New Roman" w:hAnsi="Times New Roman" w:cs="Times New Roman"/>
          <w:sz w:val="24"/>
          <w:szCs w:val="24"/>
        </w:rPr>
        <w:t xml:space="preserve"> </w:t>
      </w:r>
      <w:r w:rsidR="001A1011">
        <w:rPr>
          <w:rFonts w:ascii="Times New Roman" w:hAnsi="Times New Roman" w:cs="Times New Roman"/>
          <w:sz w:val="24"/>
          <w:szCs w:val="24"/>
        </w:rPr>
        <w:t>(ii)</w:t>
      </w:r>
      <w:r w:rsidR="005467D9" w:rsidRPr="009259AB">
        <w:rPr>
          <w:rFonts w:ascii="Times New Roman" w:hAnsi="Times New Roman" w:cs="Times New Roman"/>
          <w:sz w:val="24"/>
          <w:szCs w:val="24"/>
        </w:rPr>
        <w:t xml:space="preserve"> allow the public to be given the opportunity to comment on whether such rules should be amended, rescinded or further delayed</w:t>
      </w:r>
      <w:r w:rsidR="00797E75">
        <w:rPr>
          <w:rFonts w:ascii="Times New Roman" w:hAnsi="Times New Roman" w:cs="Times New Roman"/>
          <w:sz w:val="24"/>
          <w:szCs w:val="24"/>
        </w:rPr>
        <w:t>;</w:t>
      </w:r>
    </w:p>
    <w:p w14:paraId="71657DBF" w14:textId="77777777" w:rsidR="005467D9" w:rsidRPr="009259AB" w:rsidRDefault="005467D9" w:rsidP="001A46DC">
      <w:pPr>
        <w:jc w:val="both"/>
        <w:rPr>
          <w:rFonts w:ascii="Times New Roman" w:hAnsi="Times New Roman" w:cs="Times New Roman"/>
        </w:rPr>
      </w:pPr>
    </w:p>
    <w:p w14:paraId="1CBBFF34" w14:textId="77777777" w:rsidR="0021738B" w:rsidRDefault="00B724E1" w:rsidP="001A46DC">
      <w:pPr>
        <w:pStyle w:val="PlainText"/>
        <w:jc w:val="both"/>
        <w:rPr>
          <w:rFonts w:ascii="Times New Roman" w:eastAsia="Times New Roman" w:hAnsi="Times New Roman" w:cs="Times New Roman"/>
          <w:sz w:val="24"/>
          <w:szCs w:val="24"/>
        </w:rPr>
      </w:pPr>
      <w:r w:rsidRPr="009259AB">
        <w:rPr>
          <w:rFonts w:ascii="Times New Roman" w:hAnsi="Times New Roman" w:cs="Times New Roman"/>
          <w:sz w:val="24"/>
          <w:szCs w:val="24"/>
        </w:rPr>
        <w:t>6</w:t>
      </w:r>
      <w:r w:rsidR="00BB3F5E" w:rsidRPr="009259AB">
        <w:rPr>
          <w:rFonts w:ascii="Times New Roman" w:hAnsi="Times New Roman" w:cs="Times New Roman"/>
          <w:sz w:val="24"/>
          <w:szCs w:val="24"/>
        </w:rPr>
        <w:t xml:space="preserve">. </w:t>
      </w:r>
      <w:r w:rsidR="0021738B">
        <w:rPr>
          <w:rFonts w:ascii="Times New Roman" w:hAnsi="Times New Roman" w:cs="Times New Roman"/>
          <w:sz w:val="24"/>
          <w:szCs w:val="24"/>
        </w:rPr>
        <w:t>Promote retrospective review by r</w:t>
      </w:r>
      <w:r w:rsidR="009259AB" w:rsidRPr="009259AB">
        <w:rPr>
          <w:rFonts w:ascii="Times New Roman" w:eastAsia="Times New Roman" w:hAnsi="Times New Roman" w:cs="Times New Roman"/>
          <w:sz w:val="24"/>
          <w:szCs w:val="24"/>
        </w:rPr>
        <w:t>equir</w:t>
      </w:r>
      <w:r w:rsidR="0021738B">
        <w:rPr>
          <w:rFonts w:ascii="Times New Roman" w:eastAsia="Times New Roman" w:hAnsi="Times New Roman" w:cs="Times New Roman"/>
          <w:sz w:val="24"/>
          <w:szCs w:val="24"/>
        </w:rPr>
        <w:t>ing agencies:</w:t>
      </w:r>
    </w:p>
    <w:p w14:paraId="733A3C43" w14:textId="77777777" w:rsidR="0021738B" w:rsidRDefault="0021738B" w:rsidP="001A46DC">
      <w:pPr>
        <w:pStyle w:val="PlainText"/>
        <w:jc w:val="both"/>
        <w:rPr>
          <w:rFonts w:ascii="Times New Roman" w:eastAsia="Times New Roman" w:hAnsi="Times New Roman" w:cs="Times New Roman"/>
          <w:sz w:val="24"/>
          <w:szCs w:val="24"/>
        </w:rPr>
      </w:pPr>
    </w:p>
    <w:p w14:paraId="383EAE89" w14:textId="34CC5063" w:rsidR="009259AB" w:rsidRPr="009259AB" w:rsidRDefault="0021738B" w:rsidP="001A46DC">
      <w:pPr>
        <w:pStyle w:val="PlainText"/>
        <w:ind w:left="720"/>
        <w:jc w:val="both"/>
        <w:rPr>
          <w:rFonts w:ascii="Times New Roman" w:hAnsi="Times New Roman" w:cs="Times New Roman"/>
          <w:sz w:val="24"/>
          <w:szCs w:val="24"/>
        </w:rPr>
      </w:pPr>
      <w:r>
        <w:rPr>
          <w:rFonts w:ascii="Times New Roman" w:eastAsia="Times New Roman" w:hAnsi="Times New Roman" w:cs="Times New Roman"/>
          <w:sz w:val="24"/>
          <w:szCs w:val="24"/>
        </w:rPr>
        <w:t>a. W</w:t>
      </w:r>
      <w:r w:rsidR="009259AB" w:rsidRPr="009259AB">
        <w:rPr>
          <w:rFonts w:ascii="Times New Roman" w:eastAsia="Times New Roman" w:hAnsi="Times New Roman" w:cs="Times New Roman"/>
          <w:sz w:val="24"/>
          <w:szCs w:val="24"/>
        </w:rPr>
        <w:t xml:space="preserve">hen promulgating a major rule, </w:t>
      </w:r>
      <w:r w:rsidR="00F34105">
        <w:rPr>
          <w:rFonts w:ascii="Times New Roman" w:eastAsia="Times New Roman" w:hAnsi="Times New Roman" w:cs="Times New Roman"/>
          <w:sz w:val="24"/>
          <w:szCs w:val="24"/>
        </w:rPr>
        <w:t xml:space="preserve">to </w:t>
      </w:r>
      <w:r w:rsidR="009259AB" w:rsidRPr="009259AB">
        <w:rPr>
          <w:rFonts w:ascii="Times New Roman" w:eastAsia="Times New Roman" w:hAnsi="Times New Roman" w:cs="Times New Roman"/>
          <w:sz w:val="24"/>
          <w:szCs w:val="24"/>
        </w:rPr>
        <w:t>publish a plan (</w:t>
      </w:r>
      <w:r w:rsidR="00A77FB8">
        <w:rPr>
          <w:rFonts w:ascii="Times New Roman" w:eastAsia="Times New Roman" w:hAnsi="Times New Roman" w:cs="Times New Roman"/>
          <w:sz w:val="24"/>
          <w:szCs w:val="24"/>
        </w:rPr>
        <w:t xml:space="preserve">which would </w:t>
      </w:r>
      <w:r w:rsidR="009259AB" w:rsidRPr="009259AB">
        <w:rPr>
          <w:rFonts w:ascii="Times New Roman" w:eastAsia="Times New Roman" w:hAnsi="Times New Roman" w:cs="Times New Roman"/>
          <w:sz w:val="24"/>
          <w:szCs w:val="24"/>
        </w:rPr>
        <w:t>not</w:t>
      </w:r>
      <w:r w:rsidR="00A77FB8">
        <w:rPr>
          <w:rFonts w:ascii="Times New Roman" w:eastAsia="Times New Roman" w:hAnsi="Times New Roman" w:cs="Times New Roman"/>
          <w:sz w:val="24"/>
          <w:szCs w:val="24"/>
        </w:rPr>
        <w:t xml:space="preserve"> be</w:t>
      </w:r>
      <w:r w:rsidR="009259AB" w:rsidRPr="009259AB">
        <w:rPr>
          <w:rFonts w:ascii="Times New Roman" w:eastAsia="Times New Roman" w:hAnsi="Times New Roman" w:cs="Times New Roman"/>
          <w:sz w:val="24"/>
          <w:szCs w:val="24"/>
        </w:rPr>
        <w:t xml:space="preserve"> subject to judicial review) for assessing experience under the rule</w:t>
      </w:r>
      <w:r w:rsidR="00F34105">
        <w:rPr>
          <w:rFonts w:ascii="Times New Roman" w:eastAsia="Times New Roman" w:hAnsi="Times New Roman" w:cs="Times New Roman"/>
          <w:sz w:val="24"/>
          <w:szCs w:val="24"/>
        </w:rPr>
        <w:t xml:space="preserve"> </w:t>
      </w:r>
      <w:r w:rsidR="001A1011">
        <w:rPr>
          <w:rFonts w:ascii="Times New Roman" w:eastAsia="Times New Roman" w:hAnsi="Times New Roman" w:cs="Times New Roman"/>
          <w:sz w:val="24"/>
          <w:szCs w:val="24"/>
        </w:rPr>
        <w:t>that</w:t>
      </w:r>
      <w:r w:rsidR="009259AB" w:rsidRPr="009259AB">
        <w:rPr>
          <w:rFonts w:ascii="Times New Roman" w:eastAsia="Times New Roman" w:hAnsi="Times New Roman" w:cs="Times New Roman"/>
          <w:sz w:val="24"/>
          <w:szCs w:val="24"/>
        </w:rPr>
        <w:t xml:space="preserve"> describe</w:t>
      </w:r>
      <w:r w:rsidR="00F34105">
        <w:rPr>
          <w:rFonts w:ascii="Times New Roman" w:eastAsia="Times New Roman" w:hAnsi="Times New Roman" w:cs="Times New Roman"/>
          <w:sz w:val="24"/>
          <w:szCs w:val="24"/>
        </w:rPr>
        <w:t>s</w:t>
      </w:r>
      <w:r w:rsidR="009259AB" w:rsidRPr="009259AB">
        <w:rPr>
          <w:rFonts w:ascii="Times New Roman" w:eastAsia="Times New Roman" w:hAnsi="Times New Roman" w:cs="Times New Roman"/>
          <w:sz w:val="24"/>
          <w:szCs w:val="24"/>
        </w:rPr>
        <w:t xml:space="preserve"> (</w:t>
      </w:r>
      <w:proofErr w:type="spellStart"/>
      <w:r w:rsidR="009259AB" w:rsidRPr="009259AB">
        <w:rPr>
          <w:rFonts w:ascii="Times New Roman" w:eastAsia="Times New Roman" w:hAnsi="Times New Roman" w:cs="Times New Roman"/>
          <w:sz w:val="24"/>
          <w:szCs w:val="24"/>
        </w:rPr>
        <w:t>i</w:t>
      </w:r>
      <w:proofErr w:type="spellEnd"/>
      <w:r w:rsidR="009259AB" w:rsidRPr="009259AB">
        <w:rPr>
          <w:rFonts w:ascii="Times New Roman" w:eastAsia="Times New Roman" w:hAnsi="Times New Roman" w:cs="Times New Roman"/>
          <w:sz w:val="24"/>
          <w:szCs w:val="24"/>
        </w:rPr>
        <w:t>) information the agency believes w</w:t>
      </w:r>
      <w:r w:rsidR="006B30CE">
        <w:rPr>
          <w:rFonts w:ascii="Times New Roman" w:eastAsia="Times New Roman" w:hAnsi="Times New Roman" w:cs="Times New Roman"/>
          <w:sz w:val="24"/>
          <w:szCs w:val="24"/>
        </w:rPr>
        <w:t>ill</w:t>
      </w:r>
      <w:r w:rsidR="009259AB" w:rsidRPr="009259AB">
        <w:rPr>
          <w:rFonts w:ascii="Times New Roman" w:eastAsia="Times New Roman" w:hAnsi="Times New Roman" w:cs="Times New Roman"/>
          <w:sz w:val="24"/>
          <w:szCs w:val="24"/>
        </w:rPr>
        <w:t xml:space="preserve"> enable it to assess the effectiveness of the rule in accomplishing its objectives, potentially in </w:t>
      </w:r>
      <w:r w:rsidR="00864F2D">
        <w:rPr>
          <w:rFonts w:ascii="Times New Roman" w:eastAsia="Times New Roman" w:hAnsi="Times New Roman" w:cs="Times New Roman"/>
          <w:sz w:val="24"/>
          <w:szCs w:val="24"/>
        </w:rPr>
        <w:t>conjunction</w:t>
      </w:r>
      <w:r w:rsidR="009259AB" w:rsidRPr="009259AB">
        <w:rPr>
          <w:rFonts w:ascii="Times New Roman" w:eastAsia="Times New Roman" w:hAnsi="Times New Roman" w:cs="Times New Roman"/>
          <w:sz w:val="24"/>
          <w:szCs w:val="24"/>
        </w:rPr>
        <w:t xml:space="preserve"> with other rules or other program activities, and (ii) how the agency intends to compile such information over time</w:t>
      </w:r>
      <w:r w:rsidR="00F34105">
        <w:rPr>
          <w:rFonts w:ascii="Times New Roman" w:eastAsia="Times New Roman" w:hAnsi="Times New Roman" w:cs="Times New Roman"/>
          <w:sz w:val="24"/>
          <w:szCs w:val="24"/>
        </w:rPr>
        <w:t>;</w:t>
      </w:r>
    </w:p>
    <w:p w14:paraId="6B9DD697" w14:textId="77777777" w:rsidR="009259AB" w:rsidRPr="00457D61" w:rsidRDefault="009259AB" w:rsidP="001A46DC">
      <w:pPr>
        <w:pStyle w:val="PlainText"/>
        <w:ind w:left="720"/>
        <w:jc w:val="both"/>
        <w:rPr>
          <w:rFonts w:ascii="Times New Roman" w:hAnsi="Times New Roman"/>
        </w:rPr>
      </w:pPr>
    </w:p>
    <w:p w14:paraId="7ACACDCC" w14:textId="078DDE80" w:rsidR="0021738B" w:rsidRPr="0021738B" w:rsidRDefault="0021738B" w:rsidP="001A46DC">
      <w:pPr>
        <w:pStyle w:val="PlainText"/>
        <w:ind w:left="720"/>
        <w:jc w:val="both"/>
        <w:rPr>
          <w:rFonts w:ascii="Times New Roman" w:hAnsi="Times New Roman" w:cs="Times New Roman"/>
          <w:sz w:val="24"/>
          <w:szCs w:val="24"/>
        </w:rPr>
      </w:pPr>
      <w:r>
        <w:rPr>
          <w:rFonts w:ascii="Times New Roman" w:hAnsi="Times New Roman" w:cs="Times New Roman"/>
          <w:sz w:val="24"/>
          <w:szCs w:val="24"/>
        </w:rPr>
        <w:lastRenderedPageBreak/>
        <w:t>b. O</w:t>
      </w:r>
      <w:r w:rsidRPr="00332AAB">
        <w:rPr>
          <w:rFonts w:ascii="Times New Roman" w:hAnsi="Times New Roman" w:cs="Times New Roman"/>
          <w:sz w:val="24"/>
          <w:szCs w:val="24"/>
        </w:rPr>
        <w:t xml:space="preserve">n a continuing basis, </w:t>
      </w:r>
      <w:r>
        <w:rPr>
          <w:rFonts w:ascii="Times New Roman" w:hAnsi="Times New Roman" w:cs="Times New Roman"/>
          <w:sz w:val="24"/>
          <w:szCs w:val="24"/>
        </w:rPr>
        <w:t xml:space="preserve">to </w:t>
      </w:r>
      <w:r w:rsidRPr="00332AAB">
        <w:rPr>
          <w:rFonts w:ascii="Times New Roman" w:hAnsi="Times New Roman" w:cs="Times New Roman"/>
          <w:sz w:val="24"/>
          <w:szCs w:val="24"/>
        </w:rPr>
        <w:t xml:space="preserve">invite interested persons to submit, by electronic means, suggestions for rules </w:t>
      </w:r>
      <w:proofErr w:type="gramStart"/>
      <w:r w:rsidRPr="00332AAB">
        <w:rPr>
          <w:rFonts w:ascii="Times New Roman" w:hAnsi="Times New Roman" w:cs="Times New Roman"/>
          <w:sz w:val="24"/>
          <w:szCs w:val="24"/>
        </w:rPr>
        <w:t>that warrant</w:t>
      </w:r>
      <w:proofErr w:type="gramEnd"/>
      <w:r w:rsidRPr="00332AAB">
        <w:rPr>
          <w:rFonts w:ascii="Times New Roman" w:hAnsi="Times New Roman" w:cs="Times New Roman"/>
          <w:sz w:val="24"/>
          <w:szCs w:val="24"/>
        </w:rPr>
        <w:t xml:space="preserve"> review and possible modification or repeal</w:t>
      </w:r>
      <w:r w:rsidR="00797E75">
        <w:rPr>
          <w:rFonts w:ascii="Times New Roman" w:hAnsi="Times New Roman" w:cs="Times New Roman"/>
          <w:sz w:val="24"/>
          <w:szCs w:val="24"/>
        </w:rPr>
        <w:t>;</w:t>
      </w:r>
    </w:p>
    <w:p w14:paraId="514604A4" w14:textId="77777777" w:rsidR="009259AB" w:rsidRPr="009259AB" w:rsidRDefault="009259AB" w:rsidP="001A46DC">
      <w:pPr>
        <w:pStyle w:val="PlainText"/>
        <w:jc w:val="both"/>
        <w:rPr>
          <w:rFonts w:ascii="Times New Roman" w:hAnsi="Times New Roman" w:cs="Times New Roman"/>
          <w:sz w:val="24"/>
          <w:szCs w:val="24"/>
        </w:rPr>
      </w:pPr>
    </w:p>
    <w:p w14:paraId="54DEA3FA" w14:textId="619135E5" w:rsidR="005467D9" w:rsidRPr="009259AB" w:rsidRDefault="00B724E1" w:rsidP="001A46DC">
      <w:pPr>
        <w:pStyle w:val="PlainText"/>
        <w:jc w:val="both"/>
        <w:rPr>
          <w:rFonts w:ascii="Times New Roman" w:hAnsi="Times New Roman" w:cs="Times New Roman"/>
          <w:sz w:val="24"/>
          <w:szCs w:val="24"/>
        </w:rPr>
      </w:pPr>
      <w:r w:rsidRPr="009259AB">
        <w:rPr>
          <w:rFonts w:ascii="Times New Roman" w:hAnsi="Times New Roman" w:cs="Times New Roman"/>
          <w:sz w:val="24"/>
          <w:szCs w:val="24"/>
        </w:rPr>
        <w:t>7</w:t>
      </w:r>
      <w:r w:rsidR="00BB3F5E" w:rsidRPr="009259AB">
        <w:rPr>
          <w:rFonts w:ascii="Times New Roman" w:hAnsi="Times New Roman" w:cs="Times New Roman"/>
          <w:sz w:val="24"/>
          <w:szCs w:val="24"/>
        </w:rPr>
        <w:t xml:space="preserve">. </w:t>
      </w:r>
      <w:r w:rsidR="00522458" w:rsidRPr="009259AB">
        <w:rPr>
          <w:rFonts w:ascii="Times New Roman" w:hAnsi="Times New Roman" w:cs="Times New Roman"/>
          <w:sz w:val="24"/>
          <w:szCs w:val="24"/>
        </w:rPr>
        <w:t xml:space="preserve">Add provisions </w:t>
      </w:r>
      <w:r w:rsidR="00BB3F5E" w:rsidRPr="009259AB">
        <w:rPr>
          <w:rFonts w:ascii="Times New Roman" w:hAnsi="Times New Roman" w:cs="Times New Roman"/>
          <w:sz w:val="24"/>
          <w:szCs w:val="24"/>
        </w:rPr>
        <w:t>related to the Unified Regulatory Agenda</w:t>
      </w:r>
      <w:r w:rsidR="00522458" w:rsidRPr="009259AB">
        <w:rPr>
          <w:rFonts w:ascii="Times New Roman" w:hAnsi="Times New Roman" w:cs="Times New Roman"/>
          <w:sz w:val="24"/>
          <w:szCs w:val="24"/>
        </w:rPr>
        <w:t xml:space="preserve"> that would require each </w:t>
      </w:r>
      <w:r w:rsidR="00864F2D">
        <w:rPr>
          <w:rFonts w:ascii="Times New Roman" w:hAnsi="Times New Roman" w:cs="Times New Roman"/>
          <w:sz w:val="24"/>
          <w:szCs w:val="24"/>
        </w:rPr>
        <w:t>participating</w:t>
      </w:r>
      <w:r w:rsidR="00522458" w:rsidRPr="009259AB">
        <w:rPr>
          <w:rFonts w:ascii="Times New Roman" w:hAnsi="Times New Roman" w:cs="Times New Roman"/>
          <w:sz w:val="24"/>
          <w:szCs w:val="24"/>
        </w:rPr>
        <w:t xml:space="preserve"> agency to </w:t>
      </w:r>
      <w:r w:rsidR="00B14AFF">
        <w:rPr>
          <w:rFonts w:ascii="Times New Roman" w:hAnsi="Times New Roman" w:cs="Times New Roman"/>
          <w:sz w:val="24"/>
          <w:szCs w:val="24"/>
        </w:rPr>
        <w:t xml:space="preserve">(i) </w:t>
      </w:r>
      <w:r w:rsidR="005467D9" w:rsidRPr="009259AB">
        <w:rPr>
          <w:rFonts w:ascii="Times New Roman" w:hAnsi="Times New Roman" w:cs="Times New Roman"/>
          <w:sz w:val="24"/>
          <w:szCs w:val="24"/>
        </w:rPr>
        <w:t>maintain a website that contains its regulatory agenda</w:t>
      </w:r>
      <w:r w:rsidR="00522458" w:rsidRPr="009259AB">
        <w:rPr>
          <w:rFonts w:ascii="Times New Roman" w:hAnsi="Times New Roman" w:cs="Times New Roman"/>
          <w:sz w:val="24"/>
          <w:szCs w:val="24"/>
        </w:rPr>
        <w:t xml:space="preserve">, </w:t>
      </w:r>
      <w:r w:rsidR="00B14AFF">
        <w:rPr>
          <w:rFonts w:ascii="Times New Roman" w:hAnsi="Times New Roman" w:cs="Times New Roman"/>
          <w:sz w:val="24"/>
          <w:szCs w:val="24"/>
        </w:rPr>
        <w:t xml:space="preserve">(ii) </w:t>
      </w:r>
      <w:r w:rsidR="00522458" w:rsidRPr="009259AB">
        <w:rPr>
          <w:rFonts w:ascii="Times New Roman" w:hAnsi="Times New Roman" w:cs="Times New Roman"/>
          <w:sz w:val="24"/>
          <w:szCs w:val="24"/>
        </w:rPr>
        <w:t xml:space="preserve">update </w:t>
      </w:r>
      <w:r w:rsidR="00B14AFF">
        <w:rPr>
          <w:rFonts w:ascii="Times New Roman" w:hAnsi="Times New Roman" w:cs="Times New Roman"/>
          <w:sz w:val="24"/>
          <w:szCs w:val="24"/>
        </w:rPr>
        <w:t>its</w:t>
      </w:r>
      <w:r w:rsidR="00522458" w:rsidRPr="009259AB">
        <w:rPr>
          <w:rFonts w:ascii="Times New Roman" w:hAnsi="Times New Roman" w:cs="Times New Roman"/>
          <w:sz w:val="24"/>
          <w:szCs w:val="24"/>
        </w:rPr>
        <w:t xml:space="preserve"> agenda </w:t>
      </w:r>
      <w:r w:rsidR="005467D9" w:rsidRPr="009259AB">
        <w:rPr>
          <w:rFonts w:ascii="Times New Roman" w:hAnsi="Times New Roman" w:cs="Times New Roman"/>
          <w:sz w:val="24"/>
          <w:szCs w:val="24"/>
        </w:rPr>
        <w:t xml:space="preserve">in real time to reflect concrete actions taken with respect to rules </w:t>
      </w:r>
      <w:r w:rsidR="00B14AFF">
        <w:rPr>
          <w:rFonts w:ascii="Times New Roman" w:hAnsi="Times New Roman" w:cs="Times New Roman"/>
          <w:sz w:val="24"/>
          <w:szCs w:val="24"/>
        </w:rPr>
        <w:t>(</w:t>
      </w:r>
      <w:r w:rsidR="005467D9" w:rsidRPr="009259AB">
        <w:rPr>
          <w:rFonts w:ascii="Times New Roman" w:hAnsi="Times New Roman" w:cs="Times New Roman"/>
          <w:sz w:val="24"/>
          <w:szCs w:val="24"/>
        </w:rPr>
        <w:t>such as initiation, issuance or withdrawal of a rule or change of contact person</w:t>
      </w:r>
      <w:r w:rsidR="00B14AFF">
        <w:rPr>
          <w:rFonts w:ascii="Times New Roman" w:hAnsi="Times New Roman" w:cs="Times New Roman"/>
          <w:sz w:val="24"/>
          <w:szCs w:val="24"/>
        </w:rPr>
        <w:t>)</w:t>
      </w:r>
      <w:r w:rsidR="00522458" w:rsidRPr="009259AB">
        <w:rPr>
          <w:rFonts w:ascii="Times New Roman" w:hAnsi="Times New Roman" w:cs="Times New Roman"/>
          <w:sz w:val="24"/>
          <w:szCs w:val="24"/>
        </w:rPr>
        <w:t xml:space="preserve">, </w:t>
      </w:r>
      <w:r w:rsidR="00B14AFF">
        <w:rPr>
          <w:rFonts w:ascii="Times New Roman" w:hAnsi="Times New Roman" w:cs="Times New Roman"/>
          <w:sz w:val="24"/>
          <w:szCs w:val="24"/>
        </w:rPr>
        <w:t xml:space="preserve">(iii) </w:t>
      </w:r>
      <w:r w:rsidR="00522458" w:rsidRPr="009259AB">
        <w:rPr>
          <w:rFonts w:ascii="Times New Roman" w:hAnsi="Times New Roman" w:cs="Times New Roman"/>
          <w:sz w:val="24"/>
          <w:szCs w:val="24"/>
        </w:rPr>
        <w:t>e</w:t>
      </w:r>
      <w:r w:rsidR="005467D9" w:rsidRPr="009259AB">
        <w:rPr>
          <w:rFonts w:ascii="Times New Roman" w:hAnsi="Times New Roman" w:cs="Times New Roman"/>
          <w:sz w:val="24"/>
          <w:szCs w:val="24"/>
        </w:rPr>
        <w:t>xplain how all rules were resolved rather than rem</w:t>
      </w:r>
      <w:r w:rsidR="00522458" w:rsidRPr="009259AB">
        <w:rPr>
          <w:rFonts w:ascii="Times New Roman" w:hAnsi="Times New Roman" w:cs="Times New Roman"/>
          <w:sz w:val="24"/>
          <w:szCs w:val="24"/>
        </w:rPr>
        <w:t xml:space="preserve">oving rules without explanation, </w:t>
      </w:r>
      <w:r w:rsidR="00B14AFF">
        <w:rPr>
          <w:rFonts w:ascii="Times New Roman" w:hAnsi="Times New Roman" w:cs="Times New Roman"/>
          <w:sz w:val="24"/>
          <w:szCs w:val="24"/>
        </w:rPr>
        <w:t xml:space="preserve">(iv) </w:t>
      </w:r>
      <w:r w:rsidR="00522458" w:rsidRPr="009259AB">
        <w:rPr>
          <w:rFonts w:ascii="Times New Roman" w:hAnsi="Times New Roman" w:cs="Times New Roman"/>
          <w:sz w:val="24"/>
          <w:szCs w:val="24"/>
        </w:rPr>
        <w:t xml:space="preserve">list all active rulemakings, and </w:t>
      </w:r>
      <w:r w:rsidR="00B14AFF">
        <w:rPr>
          <w:rFonts w:ascii="Times New Roman" w:hAnsi="Times New Roman" w:cs="Times New Roman"/>
          <w:sz w:val="24"/>
          <w:szCs w:val="24"/>
        </w:rPr>
        <w:t xml:space="preserve">(v) </w:t>
      </w:r>
      <w:r w:rsidR="005467D9" w:rsidRPr="009259AB">
        <w:rPr>
          <w:rFonts w:ascii="Times New Roman" w:hAnsi="Times New Roman" w:cs="Times New Roman"/>
          <w:sz w:val="24"/>
          <w:szCs w:val="24"/>
        </w:rPr>
        <w:t xml:space="preserve">make reasonable efforts to accurately classify all </w:t>
      </w:r>
      <w:r w:rsidR="002B270F">
        <w:rPr>
          <w:rFonts w:ascii="Times New Roman" w:hAnsi="Times New Roman" w:cs="Times New Roman"/>
          <w:sz w:val="24"/>
          <w:szCs w:val="24"/>
        </w:rPr>
        <w:t>a</w:t>
      </w:r>
      <w:r w:rsidR="005467D9" w:rsidRPr="009259AB">
        <w:rPr>
          <w:rFonts w:ascii="Times New Roman" w:hAnsi="Times New Roman" w:cs="Times New Roman"/>
          <w:sz w:val="24"/>
          <w:szCs w:val="24"/>
        </w:rPr>
        <w:t>genda items</w:t>
      </w:r>
      <w:r w:rsidR="00522458" w:rsidRPr="009259AB">
        <w:rPr>
          <w:rFonts w:ascii="Times New Roman" w:hAnsi="Times New Roman" w:cs="Times New Roman"/>
          <w:sz w:val="24"/>
          <w:szCs w:val="24"/>
        </w:rPr>
        <w:t xml:space="preserve">.  </w:t>
      </w:r>
      <w:r w:rsidR="002B270F">
        <w:rPr>
          <w:rFonts w:ascii="Times New Roman" w:hAnsi="Times New Roman" w:cs="Times New Roman"/>
          <w:sz w:val="24"/>
          <w:szCs w:val="24"/>
        </w:rPr>
        <w:t xml:space="preserve">All agencies </w:t>
      </w:r>
      <w:r w:rsidR="00864F2D">
        <w:rPr>
          <w:rFonts w:ascii="Times New Roman" w:hAnsi="Times New Roman" w:cs="Times New Roman"/>
          <w:sz w:val="24"/>
          <w:szCs w:val="24"/>
        </w:rPr>
        <w:t xml:space="preserve">with rulemaking plans for </w:t>
      </w:r>
      <w:r w:rsidR="003703FF">
        <w:rPr>
          <w:rFonts w:ascii="Times New Roman" w:hAnsi="Times New Roman" w:cs="Times New Roman"/>
          <w:sz w:val="24"/>
          <w:szCs w:val="24"/>
        </w:rPr>
        <w:t>a given</w:t>
      </w:r>
      <w:r w:rsidR="00864F2D">
        <w:rPr>
          <w:rFonts w:ascii="Times New Roman" w:hAnsi="Times New Roman" w:cs="Times New Roman"/>
          <w:sz w:val="24"/>
          <w:szCs w:val="24"/>
        </w:rPr>
        <w:t xml:space="preserve"> year </w:t>
      </w:r>
      <w:r w:rsidR="002B270F">
        <w:rPr>
          <w:rFonts w:ascii="Times New Roman" w:hAnsi="Times New Roman" w:cs="Times New Roman"/>
          <w:sz w:val="24"/>
          <w:szCs w:val="24"/>
        </w:rPr>
        <w:t xml:space="preserve">should also </w:t>
      </w:r>
      <w:r w:rsidR="00864F2D">
        <w:rPr>
          <w:rFonts w:ascii="Times New Roman" w:hAnsi="Times New Roman" w:cs="Times New Roman"/>
          <w:sz w:val="24"/>
          <w:szCs w:val="24"/>
        </w:rPr>
        <w:t>participate in</w:t>
      </w:r>
      <w:r w:rsidR="00DE6201">
        <w:rPr>
          <w:rFonts w:ascii="Times New Roman" w:hAnsi="Times New Roman" w:cs="Times New Roman"/>
          <w:sz w:val="24"/>
          <w:szCs w:val="24"/>
        </w:rPr>
        <w:t xml:space="preserve"> the annual Regulatory Plan</w:t>
      </w:r>
      <w:r w:rsidR="00864F2D">
        <w:rPr>
          <w:rFonts w:ascii="Times New Roman" w:hAnsi="Times New Roman" w:cs="Times New Roman"/>
          <w:sz w:val="24"/>
          <w:szCs w:val="24"/>
        </w:rPr>
        <w:t xml:space="preserve"> published in the spring Unified Agenda</w:t>
      </w:r>
      <w:r w:rsidR="002B270F">
        <w:rPr>
          <w:rFonts w:ascii="Times New Roman" w:hAnsi="Times New Roman" w:cs="Times New Roman"/>
          <w:sz w:val="24"/>
          <w:szCs w:val="24"/>
        </w:rPr>
        <w:t>.</w:t>
      </w:r>
      <w:r w:rsidR="00864F2D" w:rsidRPr="00864F2D">
        <w:rPr>
          <w:rFonts w:ascii="Times New Roman" w:hAnsi="Times New Roman" w:cs="Times New Roman"/>
          <w:sz w:val="24"/>
          <w:szCs w:val="24"/>
        </w:rPr>
        <w:t xml:space="preserve"> </w:t>
      </w:r>
      <w:r w:rsidR="00864F2D">
        <w:rPr>
          <w:rFonts w:ascii="Times New Roman" w:hAnsi="Times New Roman" w:cs="Times New Roman"/>
          <w:sz w:val="24"/>
          <w:szCs w:val="24"/>
        </w:rPr>
        <w:t xml:space="preserve"> </w:t>
      </w:r>
      <w:r w:rsidR="00522458" w:rsidRPr="009259AB">
        <w:rPr>
          <w:rFonts w:ascii="Times New Roman" w:hAnsi="Times New Roman" w:cs="Times New Roman"/>
          <w:sz w:val="24"/>
          <w:szCs w:val="24"/>
        </w:rPr>
        <w:t xml:space="preserve">These provisions should not be </w:t>
      </w:r>
      <w:r w:rsidR="001A1011">
        <w:rPr>
          <w:rFonts w:ascii="Times New Roman" w:hAnsi="Times New Roman" w:cs="Times New Roman"/>
          <w:sz w:val="24"/>
          <w:szCs w:val="24"/>
        </w:rPr>
        <w:t>subject to judicial</w:t>
      </w:r>
      <w:r w:rsidR="00A77FB8">
        <w:rPr>
          <w:rFonts w:ascii="Times New Roman" w:hAnsi="Times New Roman" w:cs="Times New Roman"/>
          <w:sz w:val="24"/>
          <w:szCs w:val="24"/>
        </w:rPr>
        <w:t xml:space="preserve"> review</w:t>
      </w:r>
      <w:r w:rsidR="00797E75">
        <w:rPr>
          <w:rFonts w:ascii="Times New Roman" w:hAnsi="Times New Roman" w:cs="Times New Roman"/>
          <w:sz w:val="24"/>
          <w:szCs w:val="24"/>
        </w:rPr>
        <w:t>;</w:t>
      </w:r>
      <w:r w:rsidR="002B270F">
        <w:rPr>
          <w:rFonts w:ascii="Times New Roman" w:hAnsi="Times New Roman" w:cs="Times New Roman"/>
          <w:sz w:val="24"/>
          <w:szCs w:val="24"/>
        </w:rPr>
        <w:t xml:space="preserve">  </w:t>
      </w:r>
    </w:p>
    <w:p w14:paraId="1AF0BA9E" w14:textId="77777777" w:rsidR="00522458" w:rsidRPr="009259AB" w:rsidRDefault="00522458" w:rsidP="001A46DC">
      <w:pPr>
        <w:pStyle w:val="PlainText"/>
        <w:jc w:val="both"/>
        <w:rPr>
          <w:rFonts w:ascii="Times New Roman" w:hAnsi="Times New Roman" w:cs="Times New Roman"/>
          <w:sz w:val="24"/>
          <w:szCs w:val="24"/>
        </w:rPr>
      </w:pPr>
    </w:p>
    <w:p w14:paraId="1578E12E" w14:textId="5A36ECB8" w:rsidR="00BB3F5E" w:rsidRPr="009259AB" w:rsidRDefault="00B724E1" w:rsidP="001A46DC">
      <w:pPr>
        <w:pStyle w:val="PlainText"/>
        <w:jc w:val="both"/>
        <w:rPr>
          <w:rFonts w:ascii="Times New Roman" w:hAnsi="Times New Roman" w:cs="Times New Roman"/>
          <w:sz w:val="24"/>
          <w:szCs w:val="24"/>
        </w:rPr>
      </w:pPr>
      <w:r w:rsidRPr="009259AB">
        <w:rPr>
          <w:rFonts w:ascii="Times New Roman" w:hAnsi="Times New Roman" w:cs="Times New Roman"/>
          <w:sz w:val="24"/>
          <w:szCs w:val="24"/>
        </w:rPr>
        <w:t>8</w:t>
      </w:r>
      <w:r w:rsidR="00BB3F5E" w:rsidRPr="009259AB">
        <w:rPr>
          <w:rFonts w:ascii="Times New Roman" w:hAnsi="Times New Roman" w:cs="Times New Roman"/>
          <w:sz w:val="24"/>
          <w:szCs w:val="24"/>
        </w:rPr>
        <w:t xml:space="preserve">. Repeal </w:t>
      </w:r>
      <w:r w:rsidR="008E1372" w:rsidRPr="009259AB">
        <w:rPr>
          <w:rFonts w:ascii="Times New Roman" w:hAnsi="Times New Roman" w:cs="Times New Roman"/>
          <w:sz w:val="24"/>
          <w:szCs w:val="24"/>
        </w:rPr>
        <w:t xml:space="preserve">the </w:t>
      </w:r>
      <w:r w:rsidR="00BB3F5E" w:rsidRPr="009259AB">
        <w:rPr>
          <w:rFonts w:ascii="Times New Roman" w:hAnsi="Times New Roman" w:cs="Times New Roman"/>
          <w:sz w:val="24"/>
          <w:szCs w:val="24"/>
        </w:rPr>
        <w:t xml:space="preserve">exemptions from </w:t>
      </w:r>
      <w:r w:rsidR="00494744" w:rsidRPr="009259AB">
        <w:rPr>
          <w:rFonts w:ascii="Times New Roman" w:hAnsi="Times New Roman" w:cs="Times New Roman"/>
          <w:sz w:val="24"/>
          <w:szCs w:val="24"/>
        </w:rPr>
        <w:t>the notice-and-comment process</w:t>
      </w:r>
      <w:r w:rsidR="008E1372" w:rsidRPr="009259AB">
        <w:rPr>
          <w:rFonts w:ascii="Times New Roman" w:hAnsi="Times New Roman" w:cs="Times New Roman"/>
          <w:sz w:val="24"/>
          <w:szCs w:val="24"/>
        </w:rPr>
        <w:t xml:space="preserve"> for “public </w:t>
      </w:r>
      <w:r w:rsidR="00D82884">
        <w:rPr>
          <w:rFonts w:ascii="Times New Roman" w:hAnsi="Times New Roman" w:cs="Times New Roman"/>
          <w:sz w:val="24"/>
          <w:szCs w:val="24"/>
        </w:rPr>
        <w:t>. . .</w:t>
      </w:r>
      <w:r w:rsidR="008E1372" w:rsidRPr="009259AB">
        <w:rPr>
          <w:rFonts w:ascii="Times New Roman" w:hAnsi="Times New Roman" w:cs="Times New Roman"/>
          <w:sz w:val="24"/>
          <w:szCs w:val="24"/>
        </w:rPr>
        <w:t xml:space="preserve"> loans, grants</w:t>
      </w:r>
      <w:r w:rsidR="00D82884">
        <w:rPr>
          <w:rFonts w:ascii="Times New Roman" w:hAnsi="Times New Roman" w:cs="Times New Roman"/>
          <w:sz w:val="24"/>
          <w:szCs w:val="24"/>
        </w:rPr>
        <w:t xml:space="preserve"> [and]</w:t>
      </w:r>
      <w:r w:rsidR="008E1372" w:rsidRPr="009259AB">
        <w:rPr>
          <w:rFonts w:ascii="Times New Roman" w:hAnsi="Times New Roman" w:cs="Times New Roman"/>
          <w:sz w:val="24"/>
          <w:szCs w:val="24"/>
        </w:rPr>
        <w:t xml:space="preserve"> benefits” and </w:t>
      </w:r>
      <w:r w:rsidR="00C84A64">
        <w:rPr>
          <w:rFonts w:ascii="Times New Roman" w:hAnsi="Times New Roman" w:cs="Times New Roman"/>
          <w:sz w:val="24"/>
          <w:szCs w:val="24"/>
        </w:rPr>
        <w:t>narrow the exemption</w:t>
      </w:r>
      <w:r w:rsidR="00D82884">
        <w:rPr>
          <w:rFonts w:ascii="Times New Roman" w:hAnsi="Times New Roman" w:cs="Times New Roman"/>
          <w:sz w:val="24"/>
          <w:szCs w:val="24"/>
        </w:rPr>
        <w:t>s</w:t>
      </w:r>
      <w:r w:rsidR="00C84A64">
        <w:rPr>
          <w:rFonts w:ascii="Times New Roman" w:hAnsi="Times New Roman" w:cs="Times New Roman"/>
          <w:sz w:val="24"/>
          <w:szCs w:val="24"/>
        </w:rPr>
        <w:t xml:space="preserve"> for </w:t>
      </w:r>
      <w:r w:rsidR="008E1372" w:rsidRPr="009259AB">
        <w:rPr>
          <w:rFonts w:ascii="Times New Roman" w:hAnsi="Times New Roman" w:cs="Times New Roman"/>
          <w:sz w:val="24"/>
          <w:szCs w:val="24"/>
        </w:rPr>
        <w:t>“</w:t>
      </w:r>
      <w:r w:rsidR="00D82884">
        <w:rPr>
          <w:rFonts w:ascii="Times New Roman" w:hAnsi="Times New Roman" w:cs="Times New Roman"/>
          <w:sz w:val="24"/>
          <w:szCs w:val="24"/>
        </w:rPr>
        <w:t xml:space="preserve">public </w:t>
      </w:r>
      <w:r w:rsidR="00D82884" w:rsidRPr="009259AB">
        <w:rPr>
          <w:rFonts w:ascii="Times New Roman" w:hAnsi="Times New Roman" w:cs="Times New Roman"/>
          <w:sz w:val="24"/>
          <w:szCs w:val="24"/>
        </w:rPr>
        <w:t>property</w:t>
      </w:r>
      <w:r w:rsidR="00D82884">
        <w:rPr>
          <w:rFonts w:ascii="Times New Roman" w:hAnsi="Times New Roman" w:cs="Times New Roman"/>
          <w:sz w:val="24"/>
          <w:szCs w:val="24"/>
        </w:rPr>
        <w:t xml:space="preserve"> [and] </w:t>
      </w:r>
      <w:r w:rsidR="008E1372" w:rsidRPr="009259AB">
        <w:rPr>
          <w:rFonts w:ascii="Times New Roman" w:hAnsi="Times New Roman" w:cs="Times New Roman"/>
          <w:sz w:val="24"/>
          <w:szCs w:val="24"/>
        </w:rPr>
        <w:t xml:space="preserve">contracts” and </w:t>
      </w:r>
      <w:r w:rsidR="00D82884">
        <w:rPr>
          <w:rFonts w:ascii="Times New Roman" w:hAnsi="Times New Roman" w:cs="Times New Roman"/>
          <w:sz w:val="24"/>
          <w:szCs w:val="24"/>
        </w:rPr>
        <w:t xml:space="preserve">for </w:t>
      </w:r>
      <w:r w:rsidR="008E1372" w:rsidRPr="009259AB">
        <w:rPr>
          <w:rFonts w:ascii="Times New Roman" w:hAnsi="Times New Roman" w:cs="Times New Roman"/>
          <w:sz w:val="24"/>
          <w:szCs w:val="24"/>
        </w:rPr>
        <w:t>“military or foreign affairs functions”</w:t>
      </w:r>
      <w:r w:rsidR="00797E75">
        <w:rPr>
          <w:rFonts w:ascii="Times New Roman" w:hAnsi="Times New Roman" w:cs="Times New Roman"/>
          <w:sz w:val="24"/>
          <w:szCs w:val="24"/>
        </w:rPr>
        <w:t>; and</w:t>
      </w:r>
    </w:p>
    <w:p w14:paraId="59634CF1" w14:textId="77777777" w:rsidR="00BB3F5E" w:rsidRPr="009259AB" w:rsidRDefault="00BB3F5E" w:rsidP="001A46DC">
      <w:pPr>
        <w:jc w:val="both"/>
        <w:rPr>
          <w:rFonts w:ascii="Times New Roman" w:hAnsi="Times New Roman" w:cs="Times New Roman"/>
        </w:rPr>
      </w:pPr>
    </w:p>
    <w:p w14:paraId="7278D2EB" w14:textId="4F721432" w:rsidR="009259AB" w:rsidRPr="009259AB" w:rsidRDefault="00B724E1" w:rsidP="001A46DC">
      <w:pPr>
        <w:pStyle w:val="PlainText"/>
        <w:jc w:val="both"/>
        <w:rPr>
          <w:rFonts w:ascii="Times New Roman" w:eastAsia="Times New Roman" w:hAnsi="Times New Roman" w:cs="Times New Roman"/>
          <w:sz w:val="24"/>
          <w:szCs w:val="24"/>
        </w:rPr>
      </w:pPr>
      <w:r w:rsidRPr="009259AB">
        <w:rPr>
          <w:rFonts w:ascii="Times New Roman" w:hAnsi="Times New Roman" w:cs="Times New Roman"/>
          <w:sz w:val="24"/>
          <w:szCs w:val="24"/>
        </w:rPr>
        <w:t>9</w:t>
      </w:r>
      <w:r w:rsidR="00BB3F5E" w:rsidRPr="009259AB">
        <w:rPr>
          <w:rFonts w:ascii="Times New Roman" w:hAnsi="Times New Roman" w:cs="Times New Roman"/>
          <w:sz w:val="24"/>
          <w:szCs w:val="24"/>
        </w:rPr>
        <w:t xml:space="preserve">. </w:t>
      </w:r>
      <w:r w:rsidR="009259AB" w:rsidRPr="009259AB">
        <w:rPr>
          <w:rFonts w:ascii="Times New Roman" w:eastAsia="Times New Roman" w:hAnsi="Times New Roman" w:cs="Times New Roman"/>
          <w:sz w:val="24"/>
          <w:szCs w:val="24"/>
        </w:rPr>
        <w:t>Require that when an agency promulgates a final rule without notice</w:t>
      </w:r>
      <w:r w:rsidR="00864F2D">
        <w:rPr>
          <w:rFonts w:ascii="Times New Roman" w:eastAsia="Times New Roman" w:hAnsi="Times New Roman" w:cs="Times New Roman"/>
          <w:sz w:val="24"/>
          <w:szCs w:val="24"/>
        </w:rPr>
        <w:t>–</w:t>
      </w:r>
      <w:r w:rsidR="009259AB" w:rsidRPr="009259AB">
        <w:rPr>
          <w:rFonts w:ascii="Times New Roman" w:eastAsia="Times New Roman" w:hAnsi="Times New Roman" w:cs="Times New Roman"/>
          <w:sz w:val="24"/>
          <w:szCs w:val="24"/>
        </w:rPr>
        <w:t>and</w:t>
      </w:r>
      <w:r w:rsidR="00864F2D">
        <w:rPr>
          <w:rFonts w:ascii="Times New Roman" w:eastAsia="Times New Roman" w:hAnsi="Times New Roman" w:cs="Times New Roman"/>
          <w:sz w:val="24"/>
          <w:szCs w:val="24"/>
        </w:rPr>
        <w:t>-</w:t>
      </w:r>
      <w:r w:rsidR="009259AB" w:rsidRPr="009259AB">
        <w:rPr>
          <w:rFonts w:ascii="Times New Roman" w:eastAsia="Times New Roman" w:hAnsi="Times New Roman" w:cs="Times New Roman"/>
          <w:sz w:val="24"/>
          <w:szCs w:val="24"/>
        </w:rPr>
        <w:t xml:space="preserve">comment procedure on the basis that such procedure is impracticable or contrary to the public interest, it </w:t>
      </w:r>
      <w:r w:rsidR="001A1011">
        <w:rPr>
          <w:rFonts w:ascii="Times New Roman" w:eastAsia="Times New Roman" w:hAnsi="Times New Roman" w:cs="Times New Roman"/>
          <w:sz w:val="24"/>
          <w:szCs w:val="24"/>
        </w:rPr>
        <w:t>(</w:t>
      </w:r>
      <w:proofErr w:type="spellStart"/>
      <w:r w:rsidR="001A1011">
        <w:rPr>
          <w:rFonts w:ascii="Times New Roman" w:eastAsia="Times New Roman" w:hAnsi="Times New Roman" w:cs="Times New Roman"/>
          <w:sz w:val="24"/>
          <w:szCs w:val="24"/>
        </w:rPr>
        <w:t>i</w:t>
      </w:r>
      <w:proofErr w:type="spellEnd"/>
      <w:r w:rsidR="001A1011">
        <w:rPr>
          <w:rFonts w:ascii="Times New Roman" w:eastAsia="Times New Roman" w:hAnsi="Times New Roman" w:cs="Times New Roman"/>
          <w:sz w:val="24"/>
          <w:szCs w:val="24"/>
        </w:rPr>
        <w:t xml:space="preserve">) </w:t>
      </w:r>
      <w:r w:rsidR="009259AB" w:rsidRPr="009259AB">
        <w:rPr>
          <w:rFonts w:ascii="Times New Roman" w:eastAsia="Times New Roman" w:hAnsi="Times New Roman" w:cs="Times New Roman"/>
          <w:sz w:val="24"/>
          <w:szCs w:val="24"/>
        </w:rPr>
        <w:t xml:space="preserve">invite the public to submit post-promulgation </w:t>
      </w:r>
      <w:r w:rsidR="00844EC2">
        <w:rPr>
          <w:rFonts w:ascii="Times New Roman" w:eastAsia="Times New Roman" w:hAnsi="Times New Roman" w:cs="Times New Roman"/>
          <w:sz w:val="24"/>
          <w:szCs w:val="24"/>
        </w:rPr>
        <w:t>comments</w:t>
      </w:r>
      <w:r w:rsidR="009259AB" w:rsidRPr="009259AB">
        <w:rPr>
          <w:rFonts w:ascii="Times New Roman" w:eastAsia="Times New Roman" w:hAnsi="Times New Roman" w:cs="Times New Roman"/>
          <w:sz w:val="24"/>
          <w:szCs w:val="24"/>
        </w:rPr>
        <w:t> and </w:t>
      </w:r>
      <w:r w:rsidR="001A1011">
        <w:rPr>
          <w:rFonts w:ascii="Times New Roman" w:eastAsia="Times New Roman" w:hAnsi="Times New Roman" w:cs="Times New Roman"/>
          <w:sz w:val="24"/>
          <w:szCs w:val="24"/>
        </w:rPr>
        <w:t>(ii)</w:t>
      </w:r>
      <w:r w:rsidR="009259AB" w:rsidRPr="009259AB">
        <w:rPr>
          <w:rFonts w:ascii="Times New Roman" w:eastAsia="Times New Roman" w:hAnsi="Times New Roman" w:cs="Times New Roman"/>
          <w:sz w:val="24"/>
          <w:szCs w:val="24"/>
        </w:rPr>
        <w:t xml:space="preserve"> set a target date by which it expects to adopt a successor rule after consideration of the comments received</w:t>
      </w:r>
      <w:r w:rsidR="00B14AFF">
        <w:rPr>
          <w:rFonts w:ascii="Times New Roman" w:eastAsia="Times New Roman" w:hAnsi="Times New Roman" w:cs="Times New Roman"/>
          <w:sz w:val="24"/>
          <w:szCs w:val="24"/>
        </w:rPr>
        <w:t>;</w:t>
      </w:r>
      <w:r w:rsidR="009259AB" w:rsidRPr="009259AB">
        <w:rPr>
          <w:rFonts w:ascii="Times New Roman" w:eastAsia="Times New Roman" w:hAnsi="Times New Roman" w:cs="Times New Roman"/>
          <w:sz w:val="24"/>
          <w:szCs w:val="24"/>
        </w:rPr>
        <w:t xml:space="preserve"> provided that:</w:t>
      </w:r>
      <w:r w:rsidR="009259AB" w:rsidRPr="009259AB">
        <w:rPr>
          <w:rFonts w:ascii="Times New Roman" w:eastAsia="MingLiU" w:hAnsi="Times New Roman" w:cs="Times New Roman"/>
          <w:sz w:val="24"/>
          <w:szCs w:val="24"/>
        </w:rPr>
        <w:br/>
      </w:r>
    </w:p>
    <w:p w14:paraId="256D703F" w14:textId="77777777" w:rsidR="00982AE1" w:rsidRDefault="009259AB" w:rsidP="001A46DC">
      <w:pPr>
        <w:pStyle w:val="PlainText"/>
        <w:ind w:left="720"/>
        <w:jc w:val="both"/>
        <w:rPr>
          <w:rFonts w:ascii="Times New Roman" w:eastAsia="Times New Roman" w:hAnsi="Times New Roman" w:cs="Times New Roman"/>
          <w:sz w:val="24"/>
          <w:szCs w:val="24"/>
        </w:rPr>
      </w:pPr>
      <w:r w:rsidRPr="009259AB">
        <w:rPr>
          <w:rFonts w:ascii="Times New Roman" w:eastAsia="Times New Roman" w:hAnsi="Times New Roman" w:cs="Times New Roman"/>
          <w:sz w:val="24"/>
          <w:szCs w:val="24"/>
        </w:rPr>
        <w:t xml:space="preserve">a. </w:t>
      </w:r>
      <w:r w:rsidR="00DE6201">
        <w:rPr>
          <w:rFonts w:ascii="Times New Roman" w:eastAsia="Times New Roman" w:hAnsi="Times New Roman" w:cs="Times New Roman"/>
          <w:sz w:val="24"/>
          <w:szCs w:val="24"/>
        </w:rPr>
        <w:t>I</w:t>
      </w:r>
      <w:r w:rsidRPr="009259AB">
        <w:rPr>
          <w:rFonts w:ascii="Times New Roman" w:eastAsia="Times New Roman" w:hAnsi="Times New Roman" w:cs="Times New Roman"/>
          <w:sz w:val="24"/>
          <w:szCs w:val="24"/>
        </w:rPr>
        <w:t>f the agency fails to replace the interim final rule with a successor rule by the target date, it should explain its failure to do so and set a new target date;</w:t>
      </w:r>
      <w:r w:rsidRPr="009259AB">
        <w:rPr>
          <w:rFonts w:ascii="Times New Roman" w:eastAsia="Times New Roman" w:hAnsi="Times New Roman" w:cs="Times New Roman"/>
          <w:sz w:val="24"/>
          <w:szCs w:val="24"/>
        </w:rPr>
        <w:br/>
      </w:r>
      <w:r w:rsidRPr="009259AB">
        <w:rPr>
          <w:rFonts w:ascii="Times New Roman" w:eastAsia="Times New Roman" w:hAnsi="Times New Roman" w:cs="Times New Roman"/>
          <w:sz w:val="24"/>
          <w:szCs w:val="24"/>
        </w:rPr>
        <w:br/>
        <w:t xml:space="preserve">b. </w:t>
      </w:r>
      <w:r w:rsidR="00DE6201">
        <w:rPr>
          <w:rFonts w:ascii="Times New Roman" w:eastAsia="Times New Roman" w:hAnsi="Times New Roman" w:cs="Times New Roman"/>
          <w:sz w:val="24"/>
          <w:szCs w:val="24"/>
        </w:rPr>
        <w:t>T</w:t>
      </w:r>
      <w:r w:rsidRPr="009259AB">
        <w:rPr>
          <w:rFonts w:ascii="Times New Roman" w:eastAsia="Times New Roman" w:hAnsi="Times New Roman" w:cs="Times New Roman"/>
          <w:sz w:val="24"/>
          <w:szCs w:val="24"/>
        </w:rPr>
        <w:t>he adequacy of the agency’s compliance with the foregoing obligation</w:t>
      </w:r>
      <w:r w:rsidRPr="009259AB">
        <w:rPr>
          <w:rFonts w:ascii="Times New Roman" w:eastAsia="MingLiU" w:hAnsi="Times New Roman" w:cs="Times New Roman"/>
          <w:sz w:val="24"/>
          <w:szCs w:val="24"/>
        </w:rPr>
        <w:t xml:space="preserve"> </w:t>
      </w:r>
      <w:r w:rsidR="001A1011">
        <w:rPr>
          <w:rFonts w:ascii="Times New Roman" w:eastAsia="Times New Roman" w:hAnsi="Times New Roman" w:cs="Times New Roman"/>
          <w:sz w:val="24"/>
          <w:szCs w:val="24"/>
        </w:rPr>
        <w:t>would</w:t>
      </w:r>
      <w:r w:rsidRPr="009259AB">
        <w:rPr>
          <w:rFonts w:ascii="Times New Roman" w:eastAsia="Times New Roman" w:hAnsi="Times New Roman" w:cs="Times New Roman"/>
          <w:sz w:val="24"/>
          <w:szCs w:val="24"/>
        </w:rPr>
        <w:t xml:space="preserve"> not</w:t>
      </w:r>
      <w:r w:rsidR="0041218E">
        <w:rPr>
          <w:rFonts w:ascii="Times New Roman" w:eastAsia="Times New Roman" w:hAnsi="Times New Roman" w:cs="Times New Roman"/>
          <w:sz w:val="24"/>
          <w:szCs w:val="24"/>
        </w:rPr>
        <w:t xml:space="preserve"> be</w:t>
      </w:r>
      <w:r w:rsidRPr="009259AB">
        <w:rPr>
          <w:rFonts w:ascii="Times New Roman" w:eastAsia="Times New Roman" w:hAnsi="Times New Roman" w:cs="Times New Roman"/>
          <w:sz w:val="24"/>
          <w:szCs w:val="24"/>
        </w:rPr>
        <w:t xml:space="preserve"> subject to judicial review, but existing judicial remedies for undue delay in rulemaking </w:t>
      </w:r>
      <w:r w:rsidR="001A1011">
        <w:rPr>
          <w:rFonts w:ascii="Times New Roman" w:eastAsia="Times New Roman" w:hAnsi="Times New Roman" w:cs="Times New Roman"/>
          <w:sz w:val="24"/>
          <w:szCs w:val="24"/>
        </w:rPr>
        <w:t>w</w:t>
      </w:r>
      <w:r w:rsidRPr="009259AB">
        <w:rPr>
          <w:rFonts w:ascii="Times New Roman" w:eastAsia="Times New Roman" w:hAnsi="Times New Roman" w:cs="Times New Roman"/>
          <w:sz w:val="24"/>
          <w:szCs w:val="24"/>
        </w:rPr>
        <w:t>ould be unaffected; and</w:t>
      </w:r>
    </w:p>
    <w:p w14:paraId="5BD829B7" w14:textId="7B2059AF" w:rsidR="009259AB" w:rsidRPr="009259AB" w:rsidRDefault="009259AB" w:rsidP="001A46DC">
      <w:pPr>
        <w:pStyle w:val="PlainText"/>
        <w:ind w:left="720"/>
        <w:jc w:val="both"/>
        <w:rPr>
          <w:rFonts w:ascii="Times New Roman" w:hAnsi="Times New Roman" w:cs="Times New Roman"/>
          <w:sz w:val="24"/>
          <w:szCs w:val="24"/>
        </w:rPr>
      </w:pPr>
      <w:r w:rsidRPr="009259AB">
        <w:rPr>
          <w:rFonts w:ascii="Times New Roman" w:eastAsia="Times New Roman" w:hAnsi="Times New Roman" w:cs="Times New Roman"/>
          <w:sz w:val="24"/>
          <w:szCs w:val="24"/>
        </w:rPr>
        <w:br/>
        <w:t xml:space="preserve">c. </w:t>
      </w:r>
      <w:r w:rsidR="00DE6201">
        <w:rPr>
          <w:rFonts w:ascii="Times New Roman" w:eastAsia="Times New Roman" w:hAnsi="Times New Roman" w:cs="Times New Roman"/>
          <w:sz w:val="24"/>
          <w:szCs w:val="24"/>
        </w:rPr>
        <w:t>T</w:t>
      </w:r>
      <w:r w:rsidRPr="009259AB">
        <w:rPr>
          <w:rFonts w:ascii="Times New Roman" w:eastAsia="Times New Roman" w:hAnsi="Times New Roman" w:cs="Times New Roman"/>
          <w:sz w:val="24"/>
          <w:szCs w:val="24"/>
        </w:rPr>
        <w:t>he preamble and rulemaking record accompanying the successor rule should support the lawfulness of the rule as a whole, rather than only the differences between the interim final rule and the successor rule.</w:t>
      </w:r>
    </w:p>
    <w:p w14:paraId="519D7D69" w14:textId="77777777" w:rsidR="009259AB" w:rsidRPr="009259AB" w:rsidRDefault="009259AB" w:rsidP="001A46DC">
      <w:pPr>
        <w:pStyle w:val="PlainText"/>
        <w:jc w:val="both"/>
        <w:rPr>
          <w:rFonts w:ascii="Times New Roman" w:hAnsi="Times New Roman" w:cs="Times New Roman"/>
          <w:sz w:val="24"/>
          <w:szCs w:val="24"/>
        </w:rPr>
      </w:pPr>
    </w:p>
    <w:p w14:paraId="1455670F" w14:textId="21E40DAA" w:rsidR="006A23B5" w:rsidRDefault="002B270F" w:rsidP="001A46DC">
      <w:pPr>
        <w:widowControl w:val="0"/>
        <w:autoSpaceDE w:val="0"/>
        <w:autoSpaceDN w:val="0"/>
        <w:adjustRightInd w:val="0"/>
        <w:jc w:val="both"/>
        <w:rPr>
          <w:rFonts w:ascii="Times New Roman" w:eastAsia="Times New Roman" w:hAnsi="Times New Roman" w:cs="Times New Roman"/>
        </w:rPr>
      </w:pPr>
      <w:r>
        <w:rPr>
          <w:rFonts w:ascii="Times New Roman" w:hAnsi="Times New Roman" w:cs="Times New Roman"/>
        </w:rPr>
        <w:t>FURTHER RESOLVED, T</w:t>
      </w:r>
      <w:r w:rsidR="001B36DA" w:rsidRPr="00EE672E">
        <w:rPr>
          <w:rFonts w:ascii="Times New Roman" w:hAnsi="Times New Roman" w:cs="Times New Roman"/>
        </w:rPr>
        <w:t>hat</w:t>
      </w:r>
      <w:r w:rsidR="0034353E" w:rsidRPr="009259AB">
        <w:rPr>
          <w:rFonts w:ascii="Times New Roman" w:hAnsi="Times New Roman" w:cs="Times New Roman"/>
        </w:rPr>
        <w:t xml:space="preserve"> </w:t>
      </w:r>
      <w:r w:rsidR="001B36DA" w:rsidRPr="009259AB">
        <w:rPr>
          <w:rFonts w:ascii="Times New Roman" w:eastAsia="Times New Roman" w:hAnsi="Times New Roman" w:cs="Times New Roman"/>
        </w:rPr>
        <w:t xml:space="preserve">the </w:t>
      </w:r>
      <w:r w:rsidR="00372314">
        <w:rPr>
          <w:rFonts w:ascii="Times New Roman" w:eastAsia="Times New Roman" w:hAnsi="Times New Roman" w:cs="Times New Roman"/>
        </w:rPr>
        <w:t xml:space="preserve">American Bar </w:t>
      </w:r>
      <w:r w:rsidR="005120FB" w:rsidRPr="00332AAB">
        <w:rPr>
          <w:rFonts w:ascii="Times New Roman" w:hAnsi="Times New Roman" w:cs="Times New Roman"/>
        </w:rPr>
        <w:t>Association recommends that</w:t>
      </w:r>
      <w:r w:rsidR="001B36DA">
        <w:rPr>
          <w:rFonts w:ascii="Times New Roman" w:eastAsia="Times New Roman" w:hAnsi="Times New Roman" w:cs="Times New Roman"/>
        </w:rPr>
        <w:t xml:space="preserve"> federal agencies experiment with reply comment processes</w:t>
      </w:r>
      <w:r w:rsidR="005120FB" w:rsidRPr="00332AAB">
        <w:rPr>
          <w:rFonts w:ascii="Times New Roman" w:hAnsi="Times New Roman" w:cs="Times New Roman"/>
        </w:rPr>
        <w:t xml:space="preserve"> in rulemaking, such as by (a) providing in advance for a specific period for reply comments; (b) re-opening the comment period for the purpose of soliciting reply comments; or (c) permitting a reply only from a commenter who demonstrates a particular justification for that opportunity, such as a specific interest in responding to specified comments that were filed at or near the end of the regular comment period.</w:t>
      </w:r>
      <w:r w:rsidR="001B36DA">
        <w:rPr>
          <w:rFonts w:ascii="Times New Roman" w:eastAsia="Times New Roman" w:hAnsi="Times New Roman" w:cs="Times New Roman"/>
        </w:rPr>
        <w:t xml:space="preserve"> </w:t>
      </w:r>
    </w:p>
    <w:p w14:paraId="29BD7809" w14:textId="77777777" w:rsidR="001A46DC" w:rsidRDefault="001A46DC" w:rsidP="001A46DC">
      <w:pPr>
        <w:widowControl w:val="0"/>
        <w:autoSpaceDE w:val="0"/>
        <w:autoSpaceDN w:val="0"/>
        <w:adjustRightInd w:val="0"/>
        <w:jc w:val="both"/>
        <w:sectPr w:rsidR="001A46DC" w:rsidSect="001A46DC">
          <w:headerReference w:type="even" r:id="rId10"/>
          <w:headerReference w:type="default" r:id="rId11"/>
          <w:footerReference w:type="even" r:id="rId12"/>
          <w:footerReference w:type="default" r:id="rId13"/>
          <w:headerReference w:type="first" r:id="rId14"/>
          <w:pgSz w:w="12240" w:h="15840" w:code="1"/>
          <w:pgMar w:top="1440" w:right="1440" w:bottom="1440" w:left="1440" w:header="720" w:footer="720" w:gutter="0"/>
          <w:cols w:space="720"/>
          <w:titlePg/>
          <w:docGrid w:linePitch="360"/>
        </w:sectPr>
      </w:pPr>
    </w:p>
    <w:p w14:paraId="1D0E72FF" w14:textId="77777777" w:rsidR="006D6B7B" w:rsidRPr="009259AB" w:rsidRDefault="006D6B7B" w:rsidP="006D6B7B">
      <w:pPr>
        <w:jc w:val="center"/>
        <w:rPr>
          <w:rFonts w:ascii="Times New Roman" w:hAnsi="Times New Roman" w:cs="Times New Roman"/>
          <w:b/>
          <w:u w:val="single"/>
        </w:rPr>
      </w:pPr>
      <w:r w:rsidRPr="009259AB">
        <w:rPr>
          <w:rFonts w:ascii="Times New Roman" w:hAnsi="Times New Roman" w:cs="Times New Roman"/>
          <w:b/>
          <w:u w:val="single"/>
        </w:rPr>
        <w:lastRenderedPageBreak/>
        <w:t>REPORT</w:t>
      </w:r>
    </w:p>
    <w:p w14:paraId="4E5E60B3" w14:textId="77777777" w:rsidR="006D6B7B" w:rsidRPr="009259AB" w:rsidRDefault="006D6B7B" w:rsidP="006D6B7B">
      <w:pPr>
        <w:rPr>
          <w:rFonts w:ascii="Times New Roman" w:hAnsi="Times New Roman" w:cs="Times New Roman"/>
        </w:rPr>
      </w:pPr>
    </w:p>
    <w:p w14:paraId="15B0987C" w14:textId="7A5ECBFA" w:rsidR="006D6B7B" w:rsidRPr="009259AB" w:rsidRDefault="006D6B7B" w:rsidP="006D6B7B">
      <w:pPr>
        <w:ind w:firstLine="720"/>
        <w:rPr>
          <w:rFonts w:ascii="Times New Roman" w:hAnsi="Times New Roman" w:cs="Times New Roman"/>
        </w:rPr>
      </w:pPr>
      <w:r w:rsidRPr="009259AB">
        <w:rPr>
          <w:rFonts w:ascii="Times New Roman" w:hAnsi="Times New Roman" w:cs="Times New Roman"/>
        </w:rPr>
        <w:t xml:space="preserve">The Administrative Procedure Act (APA) has been in effect for </w:t>
      </w:r>
      <w:r w:rsidR="004025AC" w:rsidRPr="009259AB">
        <w:rPr>
          <w:rFonts w:ascii="Times New Roman" w:hAnsi="Times New Roman" w:cs="Times New Roman"/>
        </w:rPr>
        <w:t>almost seventy</w:t>
      </w:r>
      <w:r w:rsidRPr="009259AB">
        <w:rPr>
          <w:rFonts w:ascii="Times New Roman" w:hAnsi="Times New Roman" w:cs="Times New Roman"/>
        </w:rPr>
        <w:t xml:space="preserve"> years.  The rulemaking process has evolved in </w:t>
      </w:r>
      <w:r w:rsidR="004025AC" w:rsidRPr="009259AB">
        <w:rPr>
          <w:rFonts w:ascii="Times New Roman" w:hAnsi="Times New Roman" w:cs="Times New Roman"/>
        </w:rPr>
        <w:t xml:space="preserve">many </w:t>
      </w:r>
      <w:r w:rsidRPr="009259AB">
        <w:rPr>
          <w:rFonts w:ascii="Times New Roman" w:hAnsi="Times New Roman" w:cs="Times New Roman"/>
        </w:rPr>
        <w:t xml:space="preserve">ways not anticipated in 1946.  </w:t>
      </w:r>
      <w:r w:rsidR="004025AC" w:rsidRPr="009259AB">
        <w:rPr>
          <w:rFonts w:ascii="Times New Roman" w:hAnsi="Times New Roman" w:cs="Times New Roman"/>
        </w:rPr>
        <w:t>This evolution has been driven both by innovations in a</w:t>
      </w:r>
      <w:r w:rsidR="00C7489F" w:rsidRPr="009259AB">
        <w:rPr>
          <w:rFonts w:ascii="Times New Roman" w:hAnsi="Times New Roman" w:cs="Times New Roman"/>
        </w:rPr>
        <w:t>dministrative</w:t>
      </w:r>
      <w:r w:rsidR="004025AC" w:rsidRPr="009259AB">
        <w:rPr>
          <w:rFonts w:ascii="Times New Roman" w:hAnsi="Times New Roman" w:cs="Times New Roman"/>
        </w:rPr>
        <w:t xml:space="preserve"> practice and by a burgeoning body of case law.  While the basic chassis of the APA has been shown to be fundamentally sound, a variety of updates </w:t>
      </w:r>
      <w:r w:rsidRPr="009259AB">
        <w:rPr>
          <w:rFonts w:ascii="Times New Roman" w:hAnsi="Times New Roman" w:cs="Times New Roman"/>
        </w:rPr>
        <w:t>to the APA’s rulemaking provisions</w:t>
      </w:r>
      <w:r w:rsidR="004025AC" w:rsidRPr="009259AB">
        <w:rPr>
          <w:rFonts w:ascii="Times New Roman" w:hAnsi="Times New Roman" w:cs="Times New Roman"/>
        </w:rPr>
        <w:t xml:space="preserve"> deserve serious consideration</w:t>
      </w:r>
      <w:r w:rsidRPr="009259AB">
        <w:rPr>
          <w:rFonts w:ascii="Times New Roman" w:hAnsi="Times New Roman" w:cs="Times New Roman"/>
        </w:rPr>
        <w:t xml:space="preserve">.  This Report outlines </w:t>
      </w:r>
      <w:r w:rsidR="001B36DA">
        <w:rPr>
          <w:rFonts w:ascii="Times New Roman" w:hAnsi="Times New Roman" w:cs="Times New Roman"/>
        </w:rPr>
        <w:t>nine</w:t>
      </w:r>
      <w:r w:rsidRPr="009259AB">
        <w:rPr>
          <w:rFonts w:ascii="Times New Roman" w:hAnsi="Times New Roman" w:cs="Times New Roman"/>
        </w:rPr>
        <w:t xml:space="preserve"> recommendations for such updates on which a broad consensus exists within the Section of Administrative Law </w:t>
      </w:r>
      <w:r w:rsidR="000373D5">
        <w:rPr>
          <w:rFonts w:ascii="Times New Roman" w:hAnsi="Times New Roman" w:cs="Times New Roman"/>
        </w:rPr>
        <w:t>and</w:t>
      </w:r>
      <w:r w:rsidRPr="009259AB">
        <w:rPr>
          <w:rFonts w:ascii="Times New Roman" w:hAnsi="Times New Roman" w:cs="Times New Roman"/>
        </w:rPr>
        <w:t xml:space="preserve"> Regulatory Practice.</w:t>
      </w:r>
      <w:r w:rsidR="001B36DA">
        <w:rPr>
          <w:rFonts w:ascii="Times New Roman" w:hAnsi="Times New Roman" w:cs="Times New Roman"/>
        </w:rPr>
        <w:t xml:space="preserve">  It also explains a related recommendation to encourage the use of “reply comment” processes in rulemaking.</w:t>
      </w:r>
    </w:p>
    <w:p w14:paraId="69B72A3B" w14:textId="77777777" w:rsidR="006D6B7B" w:rsidRPr="009259AB" w:rsidRDefault="006D6B7B" w:rsidP="006D6B7B">
      <w:pPr>
        <w:rPr>
          <w:rFonts w:ascii="Times New Roman" w:hAnsi="Times New Roman" w:cs="Times New Roman"/>
        </w:rPr>
      </w:pPr>
    </w:p>
    <w:p w14:paraId="1203F8A5" w14:textId="4CD965D8" w:rsidR="00415CFB" w:rsidRPr="00415CFB" w:rsidRDefault="006D6B7B" w:rsidP="0066345A">
      <w:pPr>
        <w:ind w:left="720" w:hanging="720"/>
        <w:rPr>
          <w:rFonts w:ascii="Times New Roman" w:hAnsi="Times New Roman" w:cs="Times New Roman"/>
          <w:b/>
        </w:rPr>
      </w:pPr>
      <w:r w:rsidRPr="009259AB">
        <w:rPr>
          <w:rFonts w:ascii="Times New Roman" w:hAnsi="Times New Roman" w:cs="Times New Roman"/>
          <w:b/>
        </w:rPr>
        <w:t>I.</w:t>
      </w:r>
      <w:r w:rsidR="00EE741B" w:rsidRPr="009259AB">
        <w:rPr>
          <w:rFonts w:ascii="Times New Roman" w:hAnsi="Times New Roman" w:cs="Times New Roman"/>
          <w:b/>
        </w:rPr>
        <w:tab/>
      </w:r>
      <w:r w:rsidR="00415CFB" w:rsidRPr="00415CFB">
        <w:rPr>
          <w:rFonts w:ascii="Times New Roman" w:eastAsia="Times New Roman" w:hAnsi="Times New Roman" w:cs="Times New Roman"/>
          <w:b/>
        </w:rPr>
        <w:t>Codify the requirement that an agency fully disclose data, studies, and information upon which it proposes to rely in connection with a rulemaking</w:t>
      </w:r>
    </w:p>
    <w:p w14:paraId="3C470823" w14:textId="77777777" w:rsidR="006D6B7B" w:rsidRPr="009259AB" w:rsidRDefault="006D6B7B" w:rsidP="006D6B7B">
      <w:pPr>
        <w:rPr>
          <w:rFonts w:ascii="Times New Roman" w:hAnsi="Times New Roman" w:cs="Times New Roman"/>
        </w:rPr>
      </w:pPr>
    </w:p>
    <w:p w14:paraId="0C0FE908" w14:textId="4B3C230C" w:rsidR="006D6B7B" w:rsidRPr="009259AB" w:rsidRDefault="006D6B7B" w:rsidP="006D6B7B">
      <w:pPr>
        <w:spacing w:after="200"/>
        <w:ind w:firstLine="720"/>
        <w:rPr>
          <w:rFonts w:ascii="Times New Roman" w:hAnsi="Times New Roman" w:cs="Times New Roman"/>
        </w:rPr>
      </w:pPr>
      <w:r w:rsidRPr="009259AB">
        <w:rPr>
          <w:rFonts w:ascii="Times New Roman" w:hAnsi="Times New Roman" w:cs="Times New Roman"/>
        </w:rPr>
        <w:t xml:space="preserve">The opportunity to comment on the factual basis for proposed rules is fundamental to the democratic legitimacy of the rulemaking process.  Empirical studies and other factual material often have an important impact on how an agency weighs competing concerns in drafting a final rule.  We therefore urge amending the APA to </w:t>
      </w:r>
      <w:r w:rsidR="00EE741B" w:rsidRPr="009259AB">
        <w:rPr>
          <w:rFonts w:ascii="Times New Roman" w:hAnsi="Times New Roman" w:cs="Times New Roman"/>
        </w:rPr>
        <w:t>require</w:t>
      </w:r>
      <w:r w:rsidRPr="009259AB">
        <w:rPr>
          <w:rFonts w:ascii="Times New Roman" w:hAnsi="Times New Roman" w:cs="Times New Roman"/>
        </w:rPr>
        <w:t xml:space="preserve"> that agencies provide the public with an opportunity to comment on factual material upon which the agency </w:t>
      </w:r>
      <w:r w:rsidR="00E25014" w:rsidRPr="009259AB">
        <w:rPr>
          <w:rFonts w:ascii="Times New Roman" w:hAnsi="Times New Roman" w:cs="Times New Roman"/>
        </w:rPr>
        <w:t xml:space="preserve">proposes </w:t>
      </w:r>
      <w:r w:rsidRPr="009259AB">
        <w:rPr>
          <w:rFonts w:ascii="Times New Roman" w:hAnsi="Times New Roman" w:cs="Times New Roman"/>
        </w:rPr>
        <w:t>to rely</w:t>
      </w:r>
      <w:r w:rsidR="00EE741B" w:rsidRPr="009259AB">
        <w:rPr>
          <w:rFonts w:ascii="Times New Roman" w:hAnsi="Times New Roman" w:cs="Times New Roman"/>
        </w:rPr>
        <w:t xml:space="preserve"> in connection with a rulemaking</w:t>
      </w:r>
      <w:r w:rsidR="00AF352C" w:rsidRPr="009259AB">
        <w:rPr>
          <w:rFonts w:ascii="Times New Roman" w:eastAsia="Times New Roman" w:hAnsi="Times New Roman" w:cs="Times New Roman"/>
        </w:rPr>
        <w:t>.  </w:t>
      </w:r>
    </w:p>
    <w:p w14:paraId="596B81DD" w14:textId="3D2A36BC" w:rsidR="006D6B7B" w:rsidRPr="009259AB" w:rsidRDefault="006D6B7B" w:rsidP="006D6B7B">
      <w:pPr>
        <w:spacing w:after="200"/>
        <w:ind w:firstLine="720"/>
        <w:rPr>
          <w:rFonts w:ascii="Times New Roman" w:hAnsi="Times New Roman" w:cs="Times New Roman"/>
        </w:rPr>
      </w:pPr>
      <w:r w:rsidRPr="009259AB">
        <w:rPr>
          <w:rFonts w:ascii="Times New Roman" w:hAnsi="Times New Roman" w:cs="Times New Roman"/>
        </w:rPr>
        <w:t>The APA currently requires agencies to give notice of “</w:t>
      </w:r>
      <w:r w:rsidRPr="009259AB">
        <w:rPr>
          <w:rFonts w:ascii="Times New Roman" w:eastAsia="Times New Roman" w:hAnsi="Times New Roman" w:cs="Times New Roman"/>
          <w:shd w:val="clear" w:color="auto" w:fill="FFFFFF"/>
        </w:rPr>
        <w:t>either the terms or substance of the proposed rule or a description of the subjects and issues involved.”</w:t>
      </w:r>
      <w:r w:rsidRPr="009259AB">
        <w:rPr>
          <w:rStyle w:val="FootnoteReference"/>
          <w:rFonts w:ascii="Times New Roman" w:eastAsia="Times New Roman" w:hAnsi="Times New Roman"/>
          <w:shd w:val="clear" w:color="auto" w:fill="FFFFFF"/>
        </w:rPr>
        <w:footnoteReference w:id="2"/>
      </w:r>
      <w:r w:rsidRPr="009259AB">
        <w:rPr>
          <w:rFonts w:ascii="Times New Roman" w:eastAsia="Times New Roman" w:hAnsi="Times New Roman" w:cs="Times New Roman"/>
          <w:shd w:val="clear" w:color="auto" w:fill="FFFFFF"/>
        </w:rPr>
        <w:t xml:space="preserve">  A</w:t>
      </w:r>
      <w:r w:rsidRPr="009259AB">
        <w:rPr>
          <w:rFonts w:ascii="Times New Roman" w:hAnsi="Times New Roman" w:cs="Times New Roman"/>
        </w:rPr>
        <w:t xml:space="preserve"> series of court decisions has interpreted this provision to require agencies to disclose the factual basis for a proposed rule.</w:t>
      </w:r>
      <w:r w:rsidRPr="009259AB">
        <w:rPr>
          <w:rStyle w:val="FootnoteReference"/>
          <w:rFonts w:ascii="Times New Roman" w:hAnsi="Times New Roman"/>
        </w:rPr>
        <w:footnoteReference w:id="3"/>
      </w:r>
      <w:r w:rsidRPr="009259AB">
        <w:rPr>
          <w:rFonts w:ascii="Times New Roman" w:hAnsi="Times New Roman" w:cs="Times New Roman"/>
        </w:rPr>
        <w:t xml:space="preserve">  This is </w:t>
      </w:r>
      <w:r w:rsidR="00FD4DB0" w:rsidRPr="009259AB">
        <w:rPr>
          <w:rFonts w:ascii="Times New Roman" w:hAnsi="Times New Roman" w:cs="Times New Roman"/>
        </w:rPr>
        <w:t>critical to commenting effectively an</w:t>
      </w:r>
      <w:r w:rsidRPr="009259AB">
        <w:rPr>
          <w:rFonts w:ascii="Times New Roman" w:hAnsi="Times New Roman" w:cs="Times New Roman"/>
        </w:rPr>
        <w:t>d is a standard feature of modern administrative practice.  Yet the requirement is not explicit in the current APA and is still occasionally called into question in the courts.</w:t>
      </w:r>
      <w:r w:rsidRPr="009259AB">
        <w:rPr>
          <w:rStyle w:val="FootnoteReference"/>
          <w:rFonts w:ascii="Times New Roman" w:hAnsi="Times New Roman"/>
        </w:rPr>
        <w:footnoteReference w:id="4"/>
      </w:r>
      <w:r w:rsidRPr="009259AB">
        <w:rPr>
          <w:rFonts w:ascii="Times New Roman" w:hAnsi="Times New Roman" w:cs="Times New Roman"/>
        </w:rPr>
        <w:t xml:space="preserve">  That makes codification highly desirable. </w:t>
      </w:r>
    </w:p>
    <w:p w14:paraId="264BF4ED" w14:textId="25E5D023" w:rsidR="00686214" w:rsidRDefault="006D6B7B" w:rsidP="00C92843">
      <w:pPr>
        <w:ind w:firstLine="720"/>
        <w:rPr>
          <w:rFonts w:ascii="Times New Roman" w:hAnsi="Times New Roman" w:cs="Times New Roman"/>
        </w:rPr>
      </w:pPr>
      <w:r w:rsidRPr="009259AB">
        <w:rPr>
          <w:rFonts w:ascii="Times New Roman" w:hAnsi="Times New Roman" w:cs="Times New Roman"/>
        </w:rPr>
        <w:t xml:space="preserve">To that end, we advocate adding a provision to 5 U.S.C. § 553 </w:t>
      </w:r>
      <w:r w:rsidR="00D17DEB" w:rsidRPr="009259AB">
        <w:rPr>
          <w:rFonts w:ascii="Times New Roman" w:hAnsi="Times New Roman" w:cs="Times New Roman"/>
        </w:rPr>
        <w:t>to require</w:t>
      </w:r>
      <w:r w:rsidRPr="009259AB">
        <w:rPr>
          <w:rFonts w:ascii="Times New Roman" w:hAnsi="Times New Roman" w:cs="Times New Roman"/>
        </w:rPr>
        <w:t xml:space="preserve"> agencies</w:t>
      </w:r>
      <w:r w:rsidR="006034C9" w:rsidRPr="009259AB">
        <w:rPr>
          <w:rFonts w:ascii="Times New Roman" w:hAnsi="Times New Roman" w:cs="Times New Roman"/>
        </w:rPr>
        <w:t>, by means of a docket</w:t>
      </w:r>
      <w:r w:rsidR="00686214">
        <w:rPr>
          <w:rFonts w:ascii="Times New Roman" w:hAnsi="Times New Roman" w:cs="Times New Roman"/>
        </w:rPr>
        <w:t xml:space="preserve"> (discussed immediately below)</w:t>
      </w:r>
      <w:r w:rsidR="006034C9" w:rsidRPr="009259AB">
        <w:rPr>
          <w:rFonts w:ascii="Times New Roman" w:hAnsi="Times New Roman" w:cs="Times New Roman"/>
        </w:rPr>
        <w:t>,</w:t>
      </w:r>
      <w:r w:rsidRPr="009259AB">
        <w:rPr>
          <w:rFonts w:ascii="Times New Roman" w:hAnsi="Times New Roman" w:cs="Times New Roman"/>
        </w:rPr>
        <w:t xml:space="preserve"> </w:t>
      </w:r>
      <w:r w:rsidR="00D17DEB" w:rsidRPr="009259AB">
        <w:rPr>
          <w:rFonts w:ascii="Times New Roman" w:hAnsi="Times New Roman" w:cs="Times New Roman"/>
        </w:rPr>
        <w:t xml:space="preserve">to </w:t>
      </w:r>
      <w:r w:rsidRPr="009259AB">
        <w:rPr>
          <w:rFonts w:ascii="Times New Roman" w:hAnsi="Times New Roman" w:cs="Times New Roman"/>
        </w:rPr>
        <w:t xml:space="preserve">provide </w:t>
      </w:r>
      <w:r w:rsidR="00D17DEB" w:rsidRPr="009259AB">
        <w:rPr>
          <w:rFonts w:ascii="Times New Roman" w:hAnsi="Times New Roman" w:cs="Times New Roman"/>
        </w:rPr>
        <w:t xml:space="preserve">public </w:t>
      </w:r>
      <w:r w:rsidRPr="009259AB">
        <w:rPr>
          <w:rFonts w:ascii="Times New Roman" w:hAnsi="Times New Roman" w:cs="Times New Roman"/>
        </w:rPr>
        <w:t>notice of</w:t>
      </w:r>
      <w:r w:rsidR="00D17DEB" w:rsidRPr="009259AB">
        <w:rPr>
          <w:rFonts w:ascii="Times New Roman" w:hAnsi="Times New Roman" w:cs="Times New Roman"/>
        </w:rPr>
        <w:t xml:space="preserve">, and access to, </w:t>
      </w:r>
      <w:r w:rsidRPr="009259AB">
        <w:rPr>
          <w:rFonts w:ascii="Times New Roman" w:hAnsi="Times New Roman" w:cs="Times New Roman"/>
        </w:rPr>
        <w:t>all data, studies, and other information considered or used by the agency in connection with its determination to propose the rule</w:t>
      </w:r>
      <w:r w:rsidR="00686214">
        <w:rPr>
          <w:rFonts w:ascii="Times New Roman" w:hAnsi="Times New Roman" w:cs="Times New Roman"/>
        </w:rPr>
        <w:t xml:space="preserve"> </w:t>
      </w:r>
      <w:r w:rsidR="000373D5">
        <w:rPr>
          <w:rFonts w:ascii="Times New Roman" w:hAnsi="Times New Roman" w:cs="Times New Roman"/>
        </w:rPr>
        <w:t xml:space="preserve">that is </w:t>
      </w:r>
      <w:r w:rsidR="00686214">
        <w:rPr>
          <w:rFonts w:ascii="Times New Roman" w:hAnsi="Times New Roman" w:cs="Times New Roman"/>
        </w:rPr>
        <w:t>not protected from disclosure</w:t>
      </w:r>
      <w:r w:rsidRPr="009259AB">
        <w:rPr>
          <w:rFonts w:ascii="Times New Roman" w:hAnsi="Times New Roman" w:cs="Times New Roman"/>
        </w:rPr>
        <w:t>.</w:t>
      </w:r>
    </w:p>
    <w:p w14:paraId="1CB5B1CD" w14:textId="4B0000BD" w:rsidR="00C92843" w:rsidRPr="009259AB" w:rsidRDefault="006D6B7B" w:rsidP="00C92843">
      <w:pPr>
        <w:ind w:firstLine="720"/>
        <w:rPr>
          <w:rFonts w:ascii="Times New Roman" w:hAnsi="Times New Roman" w:cs="Times New Roman"/>
        </w:rPr>
      </w:pPr>
      <w:r w:rsidRPr="009259AB">
        <w:rPr>
          <w:rFonts w:ascii="Times New Roman" w:hAnsi="Times New Roman" w:cs="Times New Roman"/>
        </w:rPr>
        <w:t xml:space="preserve"> </w:t>
      </w:r>
    </w:p>
    <w:p w14:paraId="0C61F0B4" w14:textId="11B0ACAF" w:rsidR="006D6B7B" w:rsidRPr="009259AB" w:rsidRDefault="0066345A" w:rsidP="00C92843">
      <w:pPr>
        <w:ind w:firstLine="720"/>
        <w:rPr>
          <w:rFonts w:ascii="Times New Roman" w:hAnsi="Times New Roman" w:cs="Times New Roman"/>
        </w:rPr>
      </w:pPr>
      <w:r>
        <w:rPr>
          <w:rFonts w:ascii="Times New Roman" w:hAnsi="Times New Roman" w:cs="Times New Roman"/>
        </w:rPr>
        <w:t>A</w:t>
      </w:r>
      <w:r w:rsidR="00EE741B" w:rsidRPr="009259AB">
        <w:rPr>
          <w:rFonts w:ascii="Times New Roman" w:hAnsi="Times New Roman" w:cs="Times New Roman"/>
        </w:rPr>
        <w:t xml:space="preserve">gencies should </w:t>
      </w:r>
      <w:r w:rsidR="006D6B7B" w:rsidRPr="009259AB">
        <w:rPr>
          <w:rFonts w:ascii="Times New Roman" w:hAnsi="Times New Roman" w:cs="Times New Roman"/>
        </w:rPr>
        <w:t xml:space="preserve">also be required to provide the public with an opportunity to respond to factual material which becomes available to the agency after the </w:t>
      </w:r>
      <w:r w:rsidR="00E25014" w:rsidRPr="009259AB">
        <w:rPr>
          <w:rFonts w:ascii="Times New Roman" w:hAnsi="Times New Roman" w:cs="Times New Roman"/>
        </w:rPr>
        <w:t xml:space="preserve">comment </w:t>
      </w:r>
      <w:r w:rsidR="006D6B7B" w:rsidRPr="009259AB">
        <w:rPr>
          <w:rFonts w:ascii="Times New Roman" w:hAnsi="Times New Roman" w:cs="Times New Roman"/>
        </w:rPr>
        <w:t xml:space="preserve">period has closed, </w:t>
      </w:r>
      <w:r w:rsidR="00E25014" w:rsidRPr="009259AB">
        <w:rPr>
          <w:rFonts w:ascii="Times New Roman" w:hAnsi="Times New Roman" w:cs="Times New Roman"/>
        </w:rPr>
        <w:t xml:space="preserve">which is critical to the rule, </w:t>
      </w:r>
      <w:r w:rsidR="006D6B7B" w:rsidRPr="009259AB">
        <w:rPr>
          <w:rFonts w:ascii="Times New Roman" w:hAnsi="Times New Roman" w:cs="Times New Roman"/>
        </w:rPr>
        <w:t>and on which the agency proposes to rely.  These requirements would strike an appropriate balance between ensuring that the public has an opportunity to comment meaningfully on proposed rules and not unduly delaying the rulemaking process.</w:t>
      </w:r>
    </w:p>
    <w:p w14:paraId="2C60E4E2" w14:textId="77777777" w:rsidR="008246F1" w:rsidRPr="009259AB" w:rsidRDefault="008246F1" w:rsidP="006D6B7B">
      <w:pPr>
        <w:rPr>
          <w:rFonts w:ascii="Times New Roman" w:hAnsi="Times New Roman" w:cs="Times New Roman"/>
        </w:rPr>
      </w:pPr>
    </w:p>
    <w:p w14:paraId="64AC65E3" w14:textId="2C9991A6" w:rsidR="008246F1" w:rsidRPr="009259AB" w:rsidRDefault="008246F1" w:rsidP="008246F1">
      <w:pPr>
        <w:pStyle w:val="BodyText"/>
        <w:contextualSpacing/>
        <w:rPr>
          <w:b/>
        </w:rPr>
      </w:pPr>
      <w:r w:rsidRPr="009259AB">
        <w:rPr>
          <w:b/>
        </w:rPr>
        <w:t>II.</w:t>
      </w:r>
      <w:r w:rsidRPr="009259AB">
        <w:rPr>
          <w:b/>
        </w:rPr>
        <w:tab/>
        <w:t>Specify requirements for a “record”</w:t>
      </w:r>
      <w:r w:rsidR="00030702">
        <w:rPr>
          <w:b/>
        </w:rPr>
        <w:t xml:space="preserve"> and “docket”</w:t>
      </w:r>
      <w:r w:rsidRPr="009259AB">
        <w:rPr>
          <w:b/>
        </w:rPr>
        <w:t xml:space="preserve"> for informal rulemaking</w:t>
      </w:r>
    </w:p>
    <w:p w14:paraId="44CDA81B" w14:textId="34CFDBFD" w:rsidR="008246F1" w:rsidRPr="009259AB" w:rsidRDefault="008246F1" w:rsidP="008246F1">
      <w:pPr>
        <w:ind w:firstLine="720"/>
        <w:rPr>
          <w:rFonts w:ascii="Times New Roman" w:hAnsi="Times New Roman" w:cs="Times New Roman"/>
        </w:rPr>
      </w:pPr>
      <w:r w:rsidRPr="009259AB">
        <w:rPr>
          <w:rFonts w:ascii="Times New Roman" w:hAnsi="Times New Roman" w:cs="Times New Roman"/>
        </w:rPr>
        <w:t xml:space="preserve">A court cannot review an agency rule without a record.  Given the attention devoted in administrative case law and scholarship to judicial review of rulemaking, it is surprising that the APA does not require agencies to retain a record for judicial review.  To date, the courts have filled this omission.  The </w:t>
      </w:r>
      <w:r w:rsidR="00B81408">
        <w:rPr>
          <w:rFonts w:ascii="Times New Roman" w:hAnsi="Times New Roman" w:cs="Times New Roman"/>
        </w:rPr>
        <w:t xml:space="preserve">judicial review provisions of the </w:t>
      </w:r>
      <w:r w:rsidRPr="009259AB">
        <w:rPr>
          <w:rFonts w:ascii="Times New Roman" w:hAnsi="Times New Roman" w:cs="Times New Roman"/>
        </w:rPr>
        <w:t xml:space="preserve">APA refer </w:t>
      </w:r>
      <w:r w:rsidR="001529F5">
        <w:rPr>
          <w:rFonts w:ascii="Times New Roman" w:hAnsi="Times New Roman" w:cs="Times New Roman"/>
        </w:rPr>
        <w:t xml:space="preserve">to </w:t>
      </w:r>
      <w:r w:rsidRPr="009259AB">
        <w:rPr>
          <w:rFonts w:ascii="Times New Roman" w:hAnsi="Times New Roman" w:cs="Times New Roman"/>
        </w:rPr>
        <w:t>a “record</w:t>
      </w:r>
      <w:r w:rsidR="00B81408">
        <w:rPr>
          <w:rFonts w:ascii="Times New Roman" w:hAnsi="Times New Roman" w:cs="Times New Roman"/>
        </w:rPr>
        <w:t>,</w:t>
      </w:r>
      <w:r w:rsidRPr="009259AB">
        <w:rPr>
          <w:rFonts w:ascii="Times New Roman" w:hAnsi="Times New Roman" w:cs="Times New Roman"/>
        </w:rPr>
        <w:t>”</w:t>
      </w:r>
      <w:r w:rsidRPr="009259AB">
        <w:rPr>
          <w:rStyle w:val="FootnoteReference"/>
          <w:rFonts w:ascii="Times New Roman" w:hAnsi="Times New Roman"/>
        </w:rPr>
        <w:footnoteReference w:id="5"/>
      </w:r>
      <w:r w:rsidR="00B81408">
        <w:rPr>
          <w:rFonts w:ascii="Times New Roman" w:hAnsi="Times New Roman" w:cs="Times New Roman"/>
        </w:rPr>
        <w:t xml:space="preserve"> and</w:t>
      </w:r>
      <w:r w:rsidRPr="009259AB">
        <w:rPr>
          <w:rFonts w:ascii="Times New Roman" w:hAnsi="Times New Roman" w:cs="Times New Roman"/>
        </w:rPr>
        <w:t xml:space="preserve"> the Supreme Court has </w:t>
      </w:r>
      <w:r w:rsidR="008B00A7">
        <w:rPr>
          <w:rFonts w:ascii="Times New Roman" w:hAnsi="Times New Roman" w:cs="Times New Roman"/>
        </w:rPr>
        <w:t>long</w:t>
      </w:r>
      <w:r w:rsidRPr="009259AB">
        <w:rPr>
          <w:rFonts w:ascii="Times New Roman" w:hAnsi="Times New Roman" w:cs="Times New Roman"/>
        </w:rPr>
        <w:t xml:space="preserve"> interpreted this provision to apply to informal rulemaking.</w:t>
      </w:r>
      <w:r w:rsidRPr="009259AB">
        <w:rPr>
          <w:rStyle w:val="FootnoteReference"/>
          <w:rFonts w:ascii="Times New Roman" w:hAnsi="Times New Roman"/>
        </w:rPr>
        <w:footnoteReference w:id="6"/>
      </w:r>
    </w:p>
    <w:p w14:paraId="20B6EA34" w14:textId="77777777" w:rsidR="008246F1" w:rsidRPr="009259AB" w:rsidRDefault="008246F1" w:rsidP="008246F1">
      <w:pPr>
        <w:rPr>
          <w:rFonts w:ascii="Times New Roman" w:hAnsi="Times New Roman" w:cs="Times New Roman"/>
        </w:rPr>
      </w:pPr>
    </w:p>
    <w:p w14:paraId="523A1185" w14:textId="253757C5" w:rsidR="00AF352C" w:rsidRDefault="008246F1" w:rsidP="008246F1">
      <w:pPr>
        <w:rPr>
          <w:rFonts w:ascii="Times New Roman" w:hAnsi="Times New Roman" w:cs="Times New Roman"/>
        </w:rPr>
      </w:pPr>
      <w:r w:rsidRPr="009259AB">
        <w:rPr>
          <w:rFonts w:ascii="Times New Roman" w:hAnsi="Times New Roman" w:cs="Times New Roman"/>
        </w:rPr>
        <w:tab/>
        <w:t>The necessity for agencies of maintaining a rulemaking record is therefore firmly established in administrative practice but not in the APA.  The ABA has long supported codifying this requirement.</w:t>
      </w:r>
      <w:r w:rsidRPr="009259AB">
        <w:rPr>
          <w:rStyle w:val="FootnoteReference"/>
          <w:rFonts w:ascii="Times New Roman" w:hAnsi="Times New Roman"/>
        </w:rPr>
        <w:footnoteReference w:id="7"/>
      </w:r>
      <w:r w:rsidRPr="009259AB">
        <w:rPr>
          <w:rFonts w:ascii="Times New Roman" w:hAnsi="Times New Roman" w:cs="Times New Roman"/>
        </w:rPr>
        <w:t xml:space="preserve">  To that end, we advocate adding a provision to 5 U.S.C. § 553 providing that agencies must preserve the “whole record” upon which they based an informal rule.  Such codification would clarify the legal responsibilities of agencies and provide guidance to courts.  </w:t>
      </w:r>
    </w:p>
    <w:p w14:paraId="71B8A6BA" w14:textId="77777777" w:rsidR="00AF352C" w:rsidRDefault="00AF352C" w:rsidP="008246F1">
      <w:pPr>
        <w:rPr>
          <w:rFonts w:ascii="Times New Roman" w:hAnsi="Times New Roman" w:cs="Times New Roman"/>
        </w:rPr>
      </w:pPr>
    </w:p>
    <w:p w14:paraId="665EDA89" w14:textId="77777777" w:rsidR="00B36FC9" w:rsidRDefault="00AF352C" w:rsidP="0066345A">
      <w:pPr>
        <w:ind w:firstLine="720"/>
        <w:rPr>
          <w:rFonts w:ascii="Times New Roman" w:eastAsia="Times New Roman" w:hAnsi="Times New Roman" w:cs="Times New Roman"/>
        </w:rPr>
      </w:pPr>
      <w:r w:rsidRPr="009259AB">
        <w:rPr>
          <w:rFonts w:ascii="Times New Roman" w:eastAsia="Times New Roman" w:hAnsi="Times New Roman" w:cs="Times New Roman"/>
        </w:rPr>
        <w:t>The record should include any material that the agency considered during the rulemaking, in addition to materials required by law to be included in the record, as well as all comments and materials submitted to the agency during the comment period.  </w:t>
      </w:r>
      <w:r w:rsidR="00B36FC9" w:rsidDel="00B36FC9">
        <w:rPr>
          <w:rFonts w:ascii="Times New Roman" w:eastAsia="Times New Roman" w:hAnsi="Times New Roman" w:cs="Times New Roman"/>
        </w:rPr>
        <w:t xml:space="preserve"> </w:t>
      </w:r>
    </w:p>
    <w:p w14:paraId="7A20C1CE" w14:textId="77777777" w:rsidR="00B36FC9" w:rsidRDefault="00B36FC9" w:rsidP="0066345A">
      <w:pPr>
        <w:ind w:firstLine="720"/>
        <w:rPr>
          <w:rFonts w:ascii="Times New Roman" w:eastAsia="Times New Roman" w:hAnsi="Times New Roman" w:cs="Times New Roman"/>
        </w:rPr>
      </w:pPr>
    </w:p>
    <w:p w14:paraId="3FB40BEC" w14:textId="795E115B" w:rsidR="0066345A" w:rsidRPr="009259AB" w:rsidRDefault="00AF352C" w:rsidP="0066345A">
      <w:pPr>
        <w:ind w:firstLine="720"/>
        <w:rPr>
          <w:rFonts w:ascii="Times New Roman" w:hAnsi="Times New Roman" w:cs="Times New Roman"/>
        </w:rPr>
      </w:pPr>
      <w:r w:rsidRPr="009259AB">
        <w:rPr>
          <w:rFonts w:ascii="Times New Roman" w:eastAsia="Times New Roman" w:hAnsi="Times New Roman" w:cs="Times New Roman"/>
        </w:rPr>
        <w:t xml:space="preserve">The record should be accessible to the public </w:t>
      </w:r>
      <w:r w:rsidR="0066345A">
        <w:rPr>
          <w:rFonts w:ascii="Times New Roman" w:eastAsia="Times New Roman" w:hAnsi="Times New Roman" w:cs="Times New Roman"/>
        </w:rPr>
        <w:t xml:space="preserve">via a docket that the agency should establish for each rulemaking. </w:t>
      </w:r>
      <w:r w:rsidR="00686214">
        <w:rPr>
          <w:rFonts w:ascii="Times New Roman" w:eastAsia="Times New Roman" w:hAnsi="Times New Roman" w:cs="Times New Roman"/>
        </w:rPr>
        <w:t xml:space="preserve"> </w:t>
      </w:r>
      <w:r w:rsidR="000373D5">
        <w:rPr>
          <w:rFonts w:ascii="Times New Roman" w:hAnsi="Times New Roman" w:cs="Times New Roman"/>
        </w:rPr>
        <w:t>T</w:t>
      </w:r>
      <w:r w:rsidR="00B36FC9" w:rsidRPr="009259AB">
        <w:rPr>
          <w:rFonts w:ascii="Times New Roman" w:hAnsi="Times New Roman" w:cs="Times New Roman"/>
        </w:rPr>
        <w:t xml:space="preserve">his </w:t>
      </w:r>
      <w:r w:rsidR="00686214">
        <w:rPr>
          <w:rFonts w:ascii="Times New Roman" w:hAnsi="Times New Roman" w:cs="Times New Roman"/>
        </w:rPr>
        <w:t xml:space="preserve">disclosure </w:t>
      </w:r>
      <w:r w:rsidR="00B36FC9" w:rsidRPr="009259AB">
        <w:rPr>
          <w:rFonts w:ascii="Times New Roman" w:hAnsi="Times New Roman" w:cs="Times New Roman"/>
        </w:rPr>
        <w:t>requirement should not be absolute.  For instance, agencies should be allowed to withhold privileged information and to comply with applicable copyright protections.</w:t>
      </w:r>
      <w:r w:rsidR="00B36FC9">
        <w:rPr>
          <w:rFonts w:ascii="Times New Roman" w:eastAsia="Times New Roman" w:hAnsi="Times New Roman" w:cs="Times New Roman"/>
        </w:rPr>
        <w:t xml:space="preserve">  </w:t>
      </w:r>
      <w:r w:rsidR="0066345A" w:rsidRPr="009259AB">
        <w:rPr>
          <w:rFonts w:ascii="Times New Roman" w:hAnsi="Times New Roman" w:cs="Times New Roman"/>
        </w:rPr>
        <w:t xml:space="preserve">Agencies should ensure that </w:t>
      </w:r>
      <w:r w:rsidR="00AD7663">
        <w:rPr>
          <w:rFonts w:ascii="Times New Roman" w:hAnsi="Times New Roman" w:cs="Times New Roman"/>
        </w:rPr>
        <w:t xml:space="preserve">all relevant </w:t>
      </w:r>
      <w:r w:rsidR="0066345A" w:rsidRPr="009259AB">
        <w:rPr>
          <w:rFonts w:ascii="Times New Roman" w:hAnsi="Times New Roman" w:cs="Times New Roman"/>
        </w:rPr>
        <w:t xml:space="preserve">information is placed in the docket for a proposed rule no later than the date when the notice of proposed rulemaking is published, or as soon as possible if the agency comes into possession of the information at a later date.  All information submitted in connection with comments on the proposal should also be placed promptly </w:t>
      </w:r>
      <w:r w:rsidR="000373D5">
        <w:rPr>
          <w:rFonts w:ascii="Times New Roman" w:hAnsi="Times New Roman" w:cs="Times New Roman"/>
        </w:rPr>
        <w:t>into</w:t>
      </w:r>
      <w:r w:rsidR="0066345A" w:rsidRPr="009259AB">
        <w:rPr>
          <w:rFonts w:ascii="Times New Roman" w:hAnsi="Times New Roman" w:cs="Times New Roman"/>
        </w:rPr>
        <w:t xml:space="preserve"> the docket.  An agency’s failure to place information that it possesses into the docket on a timely basis could justify extending the comment period</w:t>
      </w:r>
      <w:r w:rsidR="0066345A">
        <w:rPr>
          <w:rFonts w:ascii="Times New Roman" w:hAnsi="Times New Roman" w:cs="Times New Roman"/>
        </w:rPr>
        <w:t xml:space="preserve">. </w:t>
      </w:r>
      <w:r w:rsidR="0066345A">
        <w:rPr>
          <w:rFonts w:ascii="Times New Roman" w:eastAsia="Times New Roman" w:hAnsi="Times New Roman" w:cs="Times New Roman"/>
        </w:rPr>
        <w:t xml:space="preserve"> </w:t>
      </w:r>
      <w:r w:rsidR="0069477F">
        <w:rPr>
          <w:rFonts w:ascii="Times New Roman" w:eastAsia="Times New Roman" w:hAnsi="Times New Roman" w:cs="Times New Roman"/>
        </w:rPr>
        <w:t xml:space="preserve">Given </w:t>
      </w:r>
      <w:r w:rsidR="0066345A" w:rsidRPr="009259AB">
        <w:rPr>
          <w:rFonts w:ascii="Times New Roman" w:hAnsi="Times New Roman" w:cs="Times New Roman"/>
        </w:rPr>
        <w:t xml:space="preserve">the functional migration of agency dockets to the Internet via </w:t>
      </w:r>
      <w:hyperlink r:id="rId15" w:history="1">
        <w:r w:rsidR="0066345A" w:rsidRPr="00686214">
          <w:rPr>
            <w:rStyle w:val="Hyperlink"/>
            <w:rFonts w:ascii="Times New Roman" w:hAnsi="Times New Roman" w:cs="Times New Roman"/>
            <w:color w:val="auto"/>
            <w:u w:val="none"/>
          </w:rPr>
          <w:t>www.regulations.gov</w:t>
        </w:r>
      </w:hyperlink>
      <w:r w:rsidR="0066345A" w:rsidRPr="009259AB">
        <w:rPr>
          <w:rFonts w:ascii="Times New Roman" w:hAnsi="Times New Roman" w:cs="Times New Roman"/>
        </w:rPr>
        <w:t xml:space="preserve">, this provision </w:t>
      </w:r>
      <w:r w:rsidR="0069477F">
        <w:rPr>
          <w:rFonts w:ascii="Times New Roman" w:hAnsi="Times New Roman" w:cs="Times New Roman"/>
        </w:rPr>
        <w:t>sh</w:t>
      </w:r>
      <w:r w:rsidR="0066345A" w:rsidRPr="009259AB">
        <w:rPr>
          <w:rFonts w:ascii="Times New Roman" w:hAnsi="Times New Roman" w:cs="Times New Roman"/>
        </w:rPr>
        <w:t xml:space="preserve">ould also clarify that such dockets must exist in </w:t>
      </w:r>
      <w:r w:rsidR="008B00A7">
        <w:rPr>
          <w:rFonts w:ascii="Times New Roman" w:hAnsi="Times New Roman" w:cs="Times New Roman"/>
        </w:rPr>
        <w:t>both</w:t>
      </w:r>
      <w:r w:rsidR="0066345A" w:rsidRPr="009259AB">
        <w:rPr>
          <w:rFonts w:ascii="Times New Roman" w:hAnsi="Times New Roman" w:cs="Times New Roman"/>
        </w:rPr>
        <w:t xml:space="preserve"> electronic and physical form.</w:t>
      </w:r>
    </w:p>
    <w:p w14:paraId="6CFB9A8B" w14:textId="77777777" w:rsidR="008246F1" w:rsidRDefault="008246F1" w:rsidP="006D6B7B">
      <w:pPr>
        <w:rPr>
          <w:rFonts w:ascii="Times New Roman" w:hAnsi="Times New Roman" w:cs="Times New Roman"/>
        </w:rPr>
      </w:pPr>
    </w:p>
    <w:p w14:paraId="41326155" w14:textId="77777777" w:rsidR="00F666FC" w:rsidRDefault="00F666FC" w:rsidP="006D6B7B">
      <w:pPr>
        <w:rPr>
          <w:rFonts w:ascii="Times New Roman" w:hAnsi="Times New Roman" w:cs="Times New Roman"/>
        </w:rPr>
      </w:pPr>
    </w:p>
    <w:p w14:paraId="69AAAFD7" w14:textId="572EF8C2" w:rsidR="006D6B7B" w:rsidRPr="009259AB" w:rsidRDefault="006D6B7B" w:rsidP="006D6B7B">
      <w:pPr>
        <w:rPr>
          <w:rFonts w:ascii="Times New Roman" w:hAnsi="Times New Roman" w:cs="Times New Roman"/>
          <w:b/>
        </w:rPr>
      </w:pPr>
      <w:r w:rsidRPr="009259AB">
        <w:rPr>
          <w:rFonts w:ascii="Times New Roman" w:hAnsi="Times New Roman" w:cs="Times New Roman"/>
          <w:b/>
        </w:rPr>
        <w:t>I</w:t>
      </w:r>
      <w:r w:rsidR="008246F1" w:rsidRPr="009259AB">
        <w:rPr>
          <w:rFonts w:ascii="Times New Roman" w:hAnsi="Times New Roman" w:cs="Times New Roman"/>
          <w:b/>
        </w:rPr>
        <w:t>I</w:t>
      </w:r>
      <w:r w:rsidRPr="009259AB">
        <w:rPr>
          <w:rFonts w:ascii="Times New Roman" w:hAnsi="Times New Roman" w:cs="Times New Roman"/>
          <w:b/>
        </w:rPr>
        <w:t>I.</w:t>
      </w:r>
      <w:r w:rsidR="00E25014" w:rsidRPr="009259AB">
        <w:rPr>
          <w:rFonts w:ascii="Times New Roman" w:hAnsi="Times New Roman" w:cs="Times New Roman"/>
          <w:b/>
        </w:rPr>
        <w:tab/>
      </w:r>
      <w:r w:rsidRPr="009259AB">
        <w:rPr>
          <w:rFonts w:ascii="Times New Roman" w:hAnsi="Times New Roman" w:cs="Times New Roman"/>
          <w:b/>
        </w:rPr>
        <w:t xml:space="preserve">Establish a minimum comment period for </w:t>
      </w:r>
      <w:r w:rsidR="00EE1CB2">
        <w:rPr>
          <w:rFonts w:ascii="Times New Roman" w:hAnsi="Times New Roman" w:cs="Times New Roman"/>
          <w:b/>
        </w:rPr>
        <w:t>proposed major r</w:t>
      </w:r>
      <w:r w:rsidRPr="009259AB">
        <w:rPr>
          <w:rFonts w:ascii="Times New Roman" w:hAnsi="Times New Roman" w:cs="Times New Roman"/>
          <w:b/>
        </w:rPr>
        <w:t>ule</w:t>
      </w:r>
      <w:r w:rsidR="00EE1CB2">
        <w:rPr>
          <w:rFonts w:ascii="Times New Roman" w:hAnsi="Times New Roman" w:cs="Times New Roman"/>
          <w:b/>
        </w:rPr>
        <w:t>s</w:t>
      </w:r>
    </w:p>
    <w:p w14:paraId="5428C59D" w14:textId="77777777" w:rsidR="006D6B7B" w:rsidRPr="009259AB" w:rsidRDefault="006D6B7B" w:rsidP="006D6B7B">
      <w:pPr>
        <w:pStyle w:val="BodyText"/>
        <w:contextualSpacing/>
      </w:pPr>
    </w:p>
    <w:p w14:paraId="424534A8" w14:textId="12984825" w:rsidR="00C92843" w:rsidRPr="009259AB" w:rsidRDefault="006D6B7B" w:rsidP="006D6B7B">
      <w:pPr>
        <w:pStyle w:val="BodyText"/>
        <w:contextualSpacing/>
      </w:pPr>
      <w:r w:rsidRPr="009259AB">
        <w:tab/>
        <w:t xml:space="preserve">Interested parties need sufficient time to read, consider, and draft meaningful comments on proposed rules.  An insufficient comment period may make the notice-and-comment process less deliberative and democratic, produce less-than-optimal results, and increase the likelihood of judicial challenges to the rule.  </w:t>
      </w:r>
      <w:r w:rsidR="00E25014" w:rsidRPr="009259AB">
        <w:t>The APA does not</w:t>
      </w:r>
      <w:r w:rsidR="00C92843" w:rsidRPr="009259AB">
        <w:t>, however,</w:t>
      </w:r>
      <w:r w:rsidR="00E25014" w:rsidRPr="009259AB">
        <w:t xml:space="preserve"> specify </w:t>
      </w:r>
      <w:r w:rsidRPr="009259AB">
        <w:t>a minimum time period for which agencies must accept public comments on notice-and-comment rules.</w:t>
      </w:r>
    </w:p>
    <w:p w14:paraId="088AFF77" w14:textId="77777777" w:rsidR="00C92843" w:rsidRPr="009259AB" w:rsidRDefault="00C92843" w:rsidP="006D6B7B">
      <w:pPr>
        <w:pStyle w:val="BodyText"/>
        <w:contextualSpacing/>
      </w:pPr>
    </w:p>
    <w:p w14:paraId="3B31F133" w14:textId="4009FC4C" w:rsidR="006D6B7B" w:rsidRPr="009259AB" w:rsidRDefault="00651FE8" w:rsidP="00752E8B">
      <w:pPr>
        <w:pStyle w:val="BodyText"/>
        <w:ind w:firstLine="720"/>
        <w:contextualSpacing/>
      </w:pPr>
      <w:r w:rsidRPr="009259AB">
        <w:t xml:space="preserve">Providing a minimum time period would help ensure that the public has ample opportunity to comment on proposed rules. </w:t>
      </w:r>
      <w:r w:rsidR="006D6B7B" w:rsidRPr="009259AB">
        <w:t>The ABA has long supported amending the APA to generally require a 60-day comment period.</w:t>
      </w:r>
      <w:r w:rsidR="006D6B7B" w:rsidRPr="009259AB">
        <w:rPr>
          <w:rStyle w:val="FootnoteReference"/>
        </w:rPr>
        <w:footnoteReference w:id="8"/>
      </w:r>
      <w:r w:rsidR="006D6B7B" w:rsidRPr="009259AB">
        <w:t xml:space="preserve"> We note that a 60-day comment period is consistent with recommendations in a recent executive order</w:t>
      </w:r>
      <w:r w:rsidR="006D6B7B" w:rsidRPr="009259AB">
        <w:rPr>
          <w:rStyle w:val="FootnoteReference"/>
        </w:rPr>
        <w:footnoteReference w:id="9"/>
      </w:r>
      <w:r w:rsidR="006D6B7B" w:rsidRPr="009259AB">
        <w:t xml:space="preserve"> as well as a recent recommendation from the Administrative Conference</w:t>
      </w:r>
      <w:r w:rsidR="007F2F48" w:rsidRPr="009259AB">
        <w:t xml:space="preserve"> of the United States</w:t>
      </w:r>
      <w:r w:rsidR="009B3BEA" w:rsidRPr="009259AB">
        <w:t xml:space="preserve"> (ACUS)</w:t>
      </w:r>
      <w:r w:rsidR="000C7922">
        <w:t xml:space="preserve"> for “significant regulatory actions</w:t>
      </w:r>
      <w:r w:rsidR="006D6B7B" w:rsidRPr="009259AB">
        <w:t>.</w:t>
      </w:r>
      <w:r w:rsidR="000C7922">
        <w:t>”</w:t>
      </w:r>
      <w:r w:rsidR="006D6B7B" w:rsidRPr="009259AB">
        <w:rPr>
          <w:rStyle w:val="FootnoteReference"/>
        </w:rPr>
        <w:footnoteReference w:id="10"/>
      </w:r>
      <w:r w:rsidR="005928D5">
        <w:t xml:space="preserve">  Longer comment periods may be appropriate for complex rulemakings.</w:t>
      </w:r>
    </w:p>
    <w:p w14:paraId="05FF1137" w14:textId="77777777" w:rsidR="006D6B7B" w:rsidRPr="009259AB" w:rsidRDefault="006D6B7B" w:rsidP="006D6B7B">
      <w:pPr>
        <w:pStyle w:val="BodyText"/>
        <w:contextualSpacing/>
      </w:pPr>
    </w:p>
    <w:p w14:paraId="410F2327" w14:textId="28CCCF83" w:rsidR="006D6B7B" w:rsidRPr="009259AB" w:rsidRDefault="006D6B7B" w:rsidP="004623F0">
      <w:pPr>
        <w:pStyle w:val="BodyText"/>
        <w:ind w:firstLine="720"/>
        <w:contextualSpacing/>
      </w:pPr>
      <w:r w:rsidRPr="009259AB">
        <w:t xml:space="preserve">At the same time, we recognize that </w:t>
      </w:r>
      <w:r w:rsidR="0069477F">
        <w:t xml:space="preserve">many rules are noncontroversial </w:t>
      </w:r>
      <w:r w:rsidR="000C7922">
        <w:t>and may not</w:t>
      </w:r>
      <w:r w:rsidR="00F8016C">
        <w:t xml:space="preserve"> receive any comments.  Indeed, the </w:t>
      </w:r>
      <w:r w:rsidR="000C7922">
        <w:t>comment period for non-economically significant rules in recent years has averaged less than 39 days</w:t>
      </w:r>
      <w:r w:rsidR="00F8016C">
        <w:t>.</w:t>
      </w:r>
      <w:r w:rsidR="00F8016C">
        <w:rPr>
          <w:rStyle w:val="FootnoteReference"/>
        </w:rPr>
        <w:footnoteReference w:id="11"/>
      </w:r>
      <w:r w:rsidR="00F8016C">
        <w:t xml:space="preserve">  A </w:t>
      </w:r>
      <w:r w:rsidRPr="009259AB">
        <w:t xml:space="preserve">60-day comment period </w:t>
      </w:r>
      <w:r w:rsidR="00F8016C">
        <w:t xml:space="preserve">will thus </w:t>
      </w:r>
      <w:r w:rsidR="00C92843" w:rsidRPr="009259AB">
        <w:t xml:space="preserve">be longer than the nature of </w:t>
      </w:r>
      <w:r w:rsidR="00F8016C">
        <w:t xml:space="preserve">many </w:t>
      </w:r>
      <w:r w:rsidR="00C92843" w:rsidRPr="009259AB">
        <w:t>rulemaking</w:t>
      </w:r>
      <w:r w:rsidR="00F8016C">
        <w:t>s</w:t>
      </w:r>
      <w:r w:rsidR="00C92843" w:rsidRPr="009259AB">
        <w:t xml:space="preserve"> warrants, or may conflict with a need for expeditious action</w:t>
      </w:r>
      <w:r w:rsidRPr="009259AB">
        <w:t xml:space="preserve">.  </w:t>
      </w:r>
      <w:r w:rsidR="00F8016C">
        <w:t xml:space="preserve">On the other hand, rules that </w:t>
      </w:r>
      <w:r w:rsidR="00F8016C" w:rsidRPr="009259AB">
        <w:t>qualify as “major” under the Congress</w:t>
      </w:r>
      <w:r w:rsidR="00F8016C">
        <w:t>ional</w:t>
      </w:r>
      <w:r w:rsidR="00F8016C" w:rsidRPr="009259AB">
        <w:t xml:space="preserve"> Review Act</w:t>
      </w:r>
      <w:bookmarkStart w:id="0" w:name="_Ref437259530"/>
      <w:r w:rsidR="00F8016C" w:rsidRPr="009259AB">
        <w:rPr>
          <w:rStyle w:val="FootnoteReference"/>
        </w:rPr>
        <w:footnoteReference w:id="12"/>
      </w:r>
      <w:bookmarkEnd w:id="0"/>
      <w:r w:rsidR="00F8016C" w:rsidRPr="009259AB">
        <w:t xml:space="preserve"> </w:t>
      </w:r>
      <w:r w:rsidR="00AD7663">
        <w:t>typically will require</w:t>
      </w:r>
      <w:r w:rsidR="00F8016C">
        <w:t xml:space="preserve"> that much time for interested persons to understand the agency’s proposal and to develop comments.  </w:t>
      </w:r>
      <w:r w:rsidR="0069477F" w:rsidRPr="009259AB">
        <w:t xml:space="preserve">We </w:t>
      </w:r>
      <w:r w:rsidR="00F8016C">
        <w:t xml:space="preserve">therefore </w:t>
      </w:r>
      <w:r w:rsidR="0069477F" w:rsidRPr="009259AB">
        <w:t xml:space="preserve">support requiring a minimum comment period of 60 days for </w:t>
      </w:r>
      <w:r w:rsidR="00F8016C">
        <w:t xml:space="preserve">major </w:t>
      </w:r>
      <w:r w:rsidR="0069477F" w:rsidRPr="009259AB">
        <w:t>rules</w:t>
      </w:r>
      <w:r w:rsidR="00F8016C">
        <w:t>.</w:t>
      </w:r>
      <w:r w:rsidR="0069477F" w:rsidRPr="009259AB">
        <w:t xml:space="preserve"> </w:t>
      </w:r>
      <w:r w:rsidR="00F8016C">
        <w:t xml:space="preserve"> To the extent that an agency believes that even a major rule should be subject to a shorter comment period, it </w:t>
      </w:r>
      <w:r w:rsidR="000C7922">
        <w:t xml:space="preserve">should </w:t>
      </w:r>
      <w:r w:rsidRPr="009259AB">
        <w:t xml:space="preserve">be allowed to set </w:t>
      </w:r>
      <w:r w:rsidR="00F8016C">
        <w:t>one</w:t>
      </w:r>
      <w:r w:rsidR="00AD7663">
        <w:t xml:space="preserve"> for good cause</w:t>
      </w:r>
      <w:r w:rsidR="00F8016C">
        <w:t xml:space="preserve">, </w:t>
      </w:r>
      <w:r w:rsidRPr="009259AB">
        <w:t xml:space="preserve">provided </w:t>
      </w:r>
      <w:r w:rsidR="00F8016C">
        <w:t>i</w:t>
      </w:r>
      <w:r w:rsidRPr="009259AB">
        <w:t>t offer</w:t>
      </w:r>
      <w:r w:rsidR="00F8016C">
        <w:t>s</w:t>
      </w:r>
      <w:r w:rsidRPr="009259AB">
        <w:t xml:space="preserve"> an appropriate explanation.  </w:t>
      </w:r>
      <w:r w:rsidR="00F8016C">
        <w:t xml:space="preserve">We would anticipate that courts would defer to the agency’s choice in such cases to the same extent that they currently defer to agency determinations to </w:t>
      </w:r>
      <w:r w:rsidRPr="009259AB">
        <w:t>make a rule effective sooner than 30 days after publication in the Federal Register.</w:t>
      </w:r>
      <w:r w:rsidRPr="009259AB">
        <w:rPr>
          <w:rStyle w:val="FootnoteReference"/>
        </w:rPr>
        <w:footnoteReference w:id="13"/>
      </w:r>
      <w:r w:rsidRPr="009259AB">
        <w:t xml:space="preserve">  Th</w:t>
      </w:r>
      <w:r w:rsidR="00F8016C">
        <w:t>e foregoing</w:t>
      </w:r>
      <w:r w:rsidRPr="009259AB">
        <w:t xml:space="preserve"> balances the need to ensure that the public has an opportunity to comment meaningfully on proposed rules with </w:t>
      </w:r>
      <w:r w:rsidR="00C92843" w:rsidRPr="009259AB">
        <w:t>o</w:t>
      </w:r>
      <w:r w:rsidRPr="009259AB">
        <w:t>the</w:t>
      </w:r>
      <w:r w:rsidR="00C92843" w:rsidRPr="009259AB">
        <w:t>r</w:t>
      </w:r>
      <w:r w:rsidRPr="009259AB">
        <w:t xml:space="preserve"> </w:t>
      </w:r>
      <w:r w:rsidR="00C92843" w:rsidRPr="009259AB">
        <w:t xml:space="preserve">compelling </w:t>
      </w:r>
      <w:r w:rsidRPr="009259AB">
        <w:t>need</w:t>
      </w:r>
      <w:r w:rsidR="00C92843" w:rsidRPr="009259AB">
        <w:t>s</w:t>
      </w:r>
      <w:r w:rsidRPr="009259AB">
        <w:t>.</w:t>
      </w:r>
    </w:p>
    <w:p w14:paraId="7CC45440" w14:textId="594D7A13" w:rsidR="006D6B7B" w:rsidRDefault="006D6B7B" w:rsidP="006D6B7B">
      <w:pPr>
        <w:rPr>
          <w:rFonts w:ascii="Times New Roman" w:hAnsi="Times New Roman" w:cs="Times New Roman"/>
          <w:b/>
        </w:rPr>
      </w:pPr>
      <w:r w:rsidRPr="009259AB">
        <w:rPr>
          <w:rFonts w:ascii="Times New Roman" w:hAnsi="Times New Roman" w:cs="Times New Roman"/>
          <w:b/>
        </w:rPr>
        <w:t>I</w:t>
      </w:r>
      <w:r w:rsidR="008246F1" w:rsidRPr="009259AB">
        <w:rPr>
          <w:rFonts w:ascii="Times New Roman" w:hAnsi="Times New Roman" w:cs="Times New Roman"/>
          <w:b/>
        </w:rPr>
        <w:t>V</w:t>
      </w:r>
      <w:r w:rsidRPr="009259AB">
        <w:rPr>
          <w:rFonts w:ascii="Times New Roman" w:hAnsi="Times New Roman" w:cs="Times New Roman"/>
          <w:b/>
        </w:rPr>
        <w:t>.</w:t>
      </w:r>
      <w:r w:rsidR="00DB0F49" w:rsidRPr="009259AB">
        <w:rPr>
          <w:rFonts w:ascii="Times New Roman" w:hAnsi="Times New Roman" w:cs="Times New Roman"/>
          <w:b/>
        </w:rPr>
        <w:tab/>
      </w:r>
      <w:r w:rsidRPr="009259AB">
        <w:rPr>
          <w:rFonts w:ascii="Times New Roman" w:hAnsi="Times New Roman" w:cs="Times New Roman"/>
          <w:b/>
        </w:rPr>
        <w:t>Clarify the definition of “rule”</w:t>
      </w:r>
    </w:p>
    <w:p w14:paraId="4ED0C6D6" w14:textId="77777777" w:rsidR="00686214" w:rsidRPr="009259AB" w:rsidRDefault="00686214" w:rsidP="006D6B7B">
      <w:pPr>
        <w:rPr>
          <w:rFonts w:ascii="Times New Roman" w:hAnsi="Times New Roman" w:cs="Times New Roman"/>
          <w:b/>
        </w:rPr>
      </w:pPr>
    </w:p>
    <w:p w14:paraId="5DDEE5CE" w14:textId="75A46757" w:rsidR="006D6B7B" w:rsidRPr="009259AB" w:rsidRDefault="00C7489F" w:rsidP="007B4BA4">
      <w:pPr>
        <w:ind w:firstLine="720"/>
        <w:rPr>
          <w:rFonts w:ascii="Times New Roman" w:hAnsi="Times New Roman" w:cs="Times New Roman"/>
        </w:rPr>
      </w:pPr>
      <w:r w:rsidRPr="009259AB">
        <w:rPr>
          <w:rFonts w:ascii="Times New Roman" w:hAnsi="Times New Roman" w:cs="Times New Roman"/>
        </w:rPr>
        <w:t>T</w:t>
      </w:r>
      <w:r w:rsidR="006D6B7B" w:rsidRPr="009259AB">
        <w:rPr>
          <w:rFonts w:ascii="Times New Roman" w:hAnsi="Times New Roman" w:cs="Times New Roman"/>
        </w:rPr>
        <w:t>he APA’s definition of “rule”</w:t>
      </w:r>
      <w:r w:rsidR="006D6B7B" w:rsidRPr="009259AB">
        <w:rPr>
          <w:rStyle w:val="FootnoteReference"/>
          <w:rFonts w:ascii="Times New Roman" w:hAnsi="Times New Roman"/>
        </w:rPr>
        <w:footnoteReference w:id="14"/>
      </w:r>
      <w:r w:rsidR="006D6B7B" w:rsidRPr="009259AB">
        <w:rPr>
          <w:rFonts w:ascii="Times New Roman" w:hAnsi="Times New Roman" w:cs="Times New Roman"/>
        </w:rPr>
        <w:t xml:space="preserve"> has been a target of criticism since the </w:t>
      </w:r>
      <w:r w:rsidRPr="009259AB">
        <w:rPr>
          <w:rFonts w:ascii="Times New Roman" w:hAnsi="Times New Roman" w:cs="Times New Roman"/>
        </w:rPr>
        <w:t>statute</w:t>
      </w:r>
      <w:r w:rsidR="006D6B7B" w:rsidRPr="009259AB">
        <w:rPr>
          <w:rFonts w:ascii="Times New Roman" w:hAnsi="Times New Roman" w:cs="Times New Roman"/>
        </w:rPr>
        <w:t xml:space="preserve"> was enacted.</w:t>
      </w:r>
      <w:r w:rsidR="007B4BA4" w:rsidRPr="009259AB">
        <w:rPr>
          <w:rFonts w:ascii="Times New Roman" w:hAnsi="Times New Roman" w:cs="Times New Roman"/>
        </w:rPr>
        <w:t xml:space="preserve">  T</w:t>
      </w:r>
      <w:r w:rsidR="006D6B7B" w:rsidRPr="009259AB">
        <w:rPr>
          <w:rFonts w:ascii="Times New Roman" w:hAnsi="Times New Roman" w:cs="Times New Roman"/>
        </w:rPr>
        <w:t>he opening words of the definition – “the whole or a part of an agency statement of general or particular applicability and future effect” – are out of keeping with the manner in which administrative lawyers actually use the word “rule”</w:t>
      </w:r>
      <w:r w:rsidR="008B00A7" w:rsidRPr="008B00A7">
        <w:rPr>
          <w:rFonts w:ascii="Times New Roman" w:hAnsi="Times New Roman" w:cs="Times New Roman"/>
        </w:rPr>
        <w:t xml:space="preserve"> </w:t>
      </w:r>
      <w:r w:rsidR="008B00A7" w:rsidRPr="009259AB">
        <w:rPr>
          <w:rFonts w:ascii="Times New Roman" w:hAnsi="Times New Roman" w:cs="Times New Roman"/>
        </w:rPr>
        <w:t>in two respects</w:t>
      </w:r>
      <w:r w:rsidR="006D6B7B" w:rsidRPr="009259AB">
        <w:rPr>
          <w:rFonts w:ascii="Times New Roman" w:hAnsi="Times New Roman" w:cs="Times New Roman"/>
        </w:rPr>
        <w:t>:</w:t>
      </w:r>
    </w:p>
    <w:p w14:paraId="02B4AA00" w14:textId="77777777" w:rsidR="00752E8B" w:rsidRPr="009259AB" w:rsidRDefault="00752E8B" w:rsidP="006D6B7B">
      <w:pPr>
        <w:ind w:firstLine="720"/>
        <w:rPr>
          <w:rFonts w:ascii="Times New Roman" w:hAnsi="Times New Roman" w:cs="Times New Roman"/>
        </w:rPr>
      </w:pPr>
    </w:p>
    <w:p w14:paraId="4B22F058" w14:textId="68B7F3B4" w:rsidR="006D6B7B" w:rsidRPr="009259AB" w:rsidRDefault="006D6B7B" w:rsidP="006D6B7B">
      <w:pPr>
        <w:pStyle w:val="ListParagraph"/>
        <w:numPr>
          <w:ilvl w:val="0"/>
          <w:numId w:val="2"/>
        </w:numPr>
        <w:rPr>
          <w:rFonts w:ascii="Times New Roman" w:hAnsi="Times New Roman" w:cs="Times New Roman"/>
        </w:rPr>
      </w:pPr>
      <w:r w:rsidRPr="009259AB">
        <w:rPr>
          <w:rFonts w:ascii="Times New Roman" w:hAnsi="Times New Roman" w:cs="Times New Roman"/>
        </w:rPr>
        <w:t xml:space="preserve">Taken literally, the current definition’s inclusion of “or particular” deems an agency decision </w:t>
      </w:r>
      <w:r w:rsidR="00123998">
        <w:rPr>
          <w:rFonts w:ascii="Times New Roman" w:hAnsi="Times New Roman" w:cs="Times New Roman"/>
        </w:rPr>
        <w:t>to be</w:t>
      </w:r>
      <w:r w:rsidRPr="009259AB">
        <w:rPr>
          <w:rFonts w:ascii="Times New Roman" w:hAnsi="Times New Roman" w:cs="Times New Roman"/>
        </w:rPr>
        <w:t xml:space="preserve"> a “rule” even if it applies only to one party.</w:t>
      </w:r>
    </w:p>
    <w:p w14:paraId="166B3803" w14:textId="0177267C" w:rsidR="006D6B7B" w:rsidRPr="009259AB" w:rsidRDefault="006D6B7B" w:rsidP="006D6B7B">
      <w:pPr>
        <w:pStyle w:val="ListParagraph"/>
        <w:numPr>
          <w:ilvl w:val="0"/>
          <w:numId w:val="2"/>
        </w:numPr>
        <w:rPr>
          <w:rFonts w:ascii="Times New Roman" w:hAnsi="Times New Roman" w:cs="Times New Roman"/>
        </w:rPr>
      </w:pPr>
      <w:r w:rsidRPr="009259AB">
        <w:rPr>
          <w:rFonts w:ascii="Times New Roman" w:hAnsi="Times New Roman" w:cs="Times New Roman"/>
        </w:rPr>
        <w:t>Similarly, the reference to “prospective effect” implies that agency action with retroactive effect cannot be a rule – even though rules may in appropriate circumstances have retroactive effect</w:t>
      </w:r>
      <w:r w:rsidR="009E1170">
        <w:rPr>
          <w:rFonts w:ascii="Times New Roman" w:hAnsi="Times New Roman" w:cs="Times New Roman"/>
        </w:rPr>
        <w:t>, particularly where Congress expressly authorizes such rules</w:t>
      </w:r>
      <w:r w:rsidRPr="009259AB">
        <w:rPr>
          <w:rFonts w:ascii="Times New Roman" w:hAnsi="Times New Roman" w:cs="Times New Roman"/>
        </w:rPr>
        <w:t>.</w:t>
      </w:r>
      <w:r w:rsidRPr="009259AB">
        <w:rPr>
          <w:rStyle w:val="FootnoteReference"/>
          <w:rFonts w:ascii="Times New Roman" w:hAnsi="Times New Roman"/>
        </w:rPr>
        <w:footnoteReference w:id="15"/>
      </w:r>
      <w:r w:rsidR="004B6CB1" w:rsidRPr="009259AB">
        <w:rPr>
          <w:rFonts w:ascii="Times New Roman" w:hAnsi="Times New Roman" w:cs="Times New Roman"/>
        </w:rPr>
        <w:t xml:space="preserve">  It makes more sense for the scope of the prohibition on retroactivity to be addressed directly by these existing administrative </w:t>
      </w:r>
      <w:r w:rsidR="0041218E">
        <w:rPr>
          <w:rFonts w:ascii="Times New Roman" w:hAnsi="Times New Roman" w:cs="Times New Roman"/>
        </w:rPr>
        <w:t xml:space="preserve">law </w:t>
      </w:r>
      <w:r w:rsidR="004B6CB1" w:rsidRPr="009259AB">
        <w:rPr>
          <w:rFonts w:ascii="Times New Roman" w:hAnsi="Times New Roman" w:cs="Times New Roman"/>
        </w:rPr>
        <w:t>principles as opposed to ambiguously in the definition of a “rule.”</w:t>
      </w:r>
    </w:p>
    <w:p w14:paraId="67EA6943" w14:textId="77777777" w:rsidR="00752E8B" w:rsidRPr="009259AB" w:rsidRDefault="00752E8B" w:rsidP="00752E8B">
      <w:pPr>
        <w:rPr>
          <w:rFonts w:ascii="Times New Roman" w:hAnsi="Times New Roman" w:cs="Times New Roman"/>
        </w:rPr>
      </w:pPr>
    </w:p>
    <w:p w14:paraId="6C41E465" w14:textId="6B61B2D8" w:rsidR="00DD1F49" w:rsidRPr="009259AB" w:rsidRDefault="006D6B7B" w:rsidP="006D6B7B">
      <w:pPr>
        <w:ind w:firstLine="720"/>
        <w:rPr>
          <w:rFonts w:ascii="Times New Roman" w:hAnsi="Times New Roman" w:cs="Times New Roman"/>
        </w:rPr>
      </w:pPr>
      <w:r w:rsidRPr="009259AB">
        <w:rPr>
          <w:rFonts w:ascii="Times New Roman" w:hAnsi="Times New Roman" w:cs="Times New Roman"/>
        </w:rPr>
        <w:t>To avoid these unintended results, courts frequently apply the commonly understood definition of “rule” notwithstanding the APA definition.</w:t>
      </w:r>
      <w:r w:rsidRPr="009259AB">
        <w:rPr>
          <w:rStyle w:val="FootnoteReference"/>
          <w:rFonts w:ascii="Times New Roman" w:hAnsi="Times New Roman"/>
        </w:rPr>
        <w:footnoteReference w:id="16"/>
      </w:r>
      <w:r w:rsidR="00DD1F49" w:rsidRPr="009259AB">
        <w:rPr>
          <w:rFonts w:ascii="Times New Roman" w:hAnsi="Times New Roman" w:cs="Times New Roman"/>
        </w:rPr>
        <w:t xml:space="preserve">  </w:t>
      </w:r>
      <w:r w:rsidRPr="009259AB">
        <w:rPr>
          <w:rFonts w:ascii="Times New Roman" w:hAnsi="Times New Roman" w:cs="Times New Roman"/>
        </w:rPr>
        <w:t>The words “or particular” and “and future effect” should therefore be deleted from the definition, leaving the definition to hinge on whether the agency decision is addressed generally (a rule) or to named parties (an order).</w:t>
      </w:r>
    </w:p>
    <w:p w14:paraId="603BFB1D" w14:textId="77777777" w:rsidR="00DD1F49" w:rsidRPr="009259AB" w:rsidRDefault="00DD1F49" w:rsidP="006D6B7B">
      <w:pPr>
        <w:ind w:firstLine="720"/>
        <w:rPr>
          <w:rFonts w:ascii="Times New Roman" w:hAnsi="Times New Roman" w:cs="Times New Roman"/>
        </w:rPr>
      </w:pPr>
    </w:p>
    <w:p w14:paraId="4C1C39A3" w14:textId="06B7516B" w:rsidR="00897B6A" w:rsidRDefault="00651FE8" w:rsidP="006D6B7B">
      <w:pPr>
        <w:rPr>
          <w:rFonts w:ascii="Times New Roman" w:hAnsi="Times New Roman" w:cs="Times New Roman"/>
        </w:rPr>
      </w:pPr>
      <w:r w:rsidRPr="009259AB">
        <w:rPr>
          <w:rFonts w:ascii="Times New Roman" w:hAnsi="Times New Roman" w:cs="Times New Roman"/>
        </w:rPr>
        <w:tab/>
      </w:r>
      <w:r w:rsidR="006D6B7B" w:rsidRPr="009259AB">
        <w:rPr>
          <w:rFonts w:ascii="Times New Roman" w:hAnsi="Times New Roman" w:cs="Times New Roman"/>
        </w:rPr>
        <w:t>This change would reconcile the APA with commonly understood use of the term “rule.”  Other prominent authorities have long recognized this common usage</w:t>
      </w:r>
      <w:r w:rsidR="003C432E" w:rsidRPr="009259AB">
        <w:rPr>
          <w:rFonts w:ascii="Times New Roman" w:hAnsi="Times New Roman" w:cs="Times New Roman"/>
        </w:rPr>
        <w:t>,</w:t>
      </w:r>
      <w:r w:rsidR="006D6B7B" w:rsidRPr="009259AB">
        <w:rPr>
          <w:rFonts w:ascii="Times New Roman" w:hAnsi="Times New Roman" w:cs="Times New Roman"/>
        </w:rPr>
        <w:t xml:space="preserve"> and the recommended change would make the APA consistent with the Model State Administrative Procedure Act, longstanding ABA policy, and prior recommendations of A</w:t>
      </w:r>
      <w:r w:rsidR="009B3BEA" w:rsidRPr="009259AB">
        <w:rPr>
          <w:rFonts w:ascii="Times New Roman" w:hAnsi="Times New Roman" w:cs="Times New Roman"/>
        </w:rPr>
        <w:t>CUS</w:t>
      </w:r>
      <w:r w:rsidR="006D6B7B" w:rsidRPr="009259AB">
        <w:rPr>
          <w:rFonts w:ascii="Times New Roman" w:hAnsi="Times New Roman" w:cs="Times New Roman"/>
        </w:rPr>
        <w:t>.</w:t>
      </w:r>
      <w:r w:rsidR="006D6B7B" w:rsidRPr="009259AB">
        <w:rPr>
          <w:rStyle w:val="FootnoteReference"/>
          <w:rFonts w:ascii="Times New Roman" w:hAnsi="Times New Roman"/>
        </w:rPr>
        <w:footnoteReference w:id="17"/>
      </w:r>
      <w:r w:rsidR="006D6B7B" w:rsidRPr="009259AB">
        <w:rPr>
          <w:rFonts w:ascii="Times New Roman" w:hAnsi="Times New Roman" w:cs="Times New Roman"/>
        </w:rPr>
        <w:t xml:space="preserve">  </w:t>
      </w:r>
    </w:p>
    <w:p w14:paraId="0563AD65" w14:textId="77777777" w:rsidR="002F5953" w:rsidRDefault="002F5953" w:rsidP="006D6B7B">
      <w:pPr>
        <w:rPr>
          <w:rFonts w:ascii="Times New Roman" w:hAnsi="Times New Roman" w:cs="Times New Roman"/>
        </w:rPr>
      </w:pPr>
    </w:p>
    <w:p w14:paraId="3EF8DAC2" w14:textId="41BB36C2" w:rsidR="000C7922" w:rsidRPr="009259AB" w:rsidRDefault="000C7922" w:rsidP="000C7922">
      <w:pPr>
        <w:rPr>
          <w:rFonts w:ascii="Times New Roman" w:hAnsi="Times New Roman" w:cs="Times New Roman"/>
        </w:rPr>
      </w:pPr>
      <w:r w:rsidRPr="009259AB">
        <w:rPr>
          <w:rFonts w:ascii="Times New Roman" w:hAnsi="Times New Roman" w:cs="Times New Roman"/>
        </w:rPr>
        <w:tab/>
      </w:r>
      <w:r>
        <w:rPr>
          <w:rFonts w:ascii="Times New Roman" w:hAnsi="Times New Roman" w:cs="Times New Roman"/>
        </w:rPr>
        <w:t>Accordingly, w</w:t>
      </w:r>
      <w:r w:rsidRPr="009259AB">
        <w:rPr>
          <w:rFonts w:ascii="Times New Roman" w:hAnsi="Times New Roman" w:cs="Times New Roman"/>
        </w:rPr>
        <w:t>e recommend that the following definition of “rule” replace the definition that appears in 5 U.S.C. § 551(4):</w:t>
      </w:r>
    </w:p>
    <w:p w14:paraId="6BED18EB" w14:textId="77777777" w:rsidR="000C7922" w:rsidRPr="009259AB" w:rsidRDefault="000C7922" w:rsidP="000C7922">
      <w:pPr>
        <w:rPr>
          <w:rFonts w:ascii="Times New Roman" w:hAnsi="Times New Roman" w:cs="Times New Roman"/>
        </w:rPr>
      </w:pPr>
    </w:p>
    <w:p w14:paraId="01E1E46A" w14:textId="740D2025" w:rsidR="000C7922" w:rsidRPr="009259AB" w:rsidRDefault="000C7922" w:rsidP="000C7922">
      <w:pPr>
        <w:ind w:left="720"/>
        <w:rPr>
          <w:rFonts w:ascii="Times New Roman" w:hAnsi="Times New Roman" w:cs="Times New Roman"/>
        </w:rPr>
      </w:pPr>
      <w:r w:rsidRPr="009259AB">
        <w:rPr>
          <w:rFonts w:ascii="Times New Roman" w:hAnsi="Times New Roman" w:cs="Times New Roman"/>
        </w:rPr>
        <w:t>(4) “rule” means the whole or a part of an agency statement of general applicability that interprets, implements or prescribes law or policy or describes the organization, procedure, or practice requirements of an agency and includes the approval or prescription for the future of rates, wages, corporate or financial structures or reorganizations thereof, prices, facilities, appliances, services or allowances therefor or of valuations, costs, or accounting, or practices bearing on any of the foregoing</w:t>
      </w:r>
      <w:r w:rsidR="00123998">
        <w:rPr>
          <w:rFonts w:ascii="Times New Roman" w:hAnsi="Times New Roman" w:cs="Times New Roman"/>
        </w:rPr>
        <w:t>[.]</w:t>
      </w:r>
    </w:p>
    <w:p w14:paraId="4B6A9D20" w14:textId="77777777" w:rsidR="000C7922" w:rsidRPr="009259AB" w:rsidRDefault="000C7922" w:rsidP="006D6B7B">
      <w:pPr>
        <w:rPr>
          <w:rFonts w:ascii="Times New Roman" w:hAnsi="Times New Roman" w:cs="Times New Roman"/>
        </w:rPr>
      </w:pPr>
    </w:p>
    <w:p w14:paraId="4C24216B" w14:textId="1FC0E221" w:rsidR="002F5953" w:rsidRPr="009259AB" w:rsidRDefault="00CB4D69" w:rsidP="002F5953">
      <w:pPr>
        <w:pStyle w:val="PlainText"/>
        <w:ind w:firstLine="720"/>
        <w:rPr>
          <w:rFonts w:ascii="Times New Roman" w:eastAsia="Times New Roman" w:hAnsi="Times New Roman" w:cs="Times New Roman"/>
          <w:sz w:val="24"/>
          <w:szCs w:val="24"/>
          <w:shd w:val="clear" w:color="auto" w:fill="FFFFFF"/>
        </w:rPr>
      </w:pPr>
      <w:r w:rsidRPr="009259AB">
        <w:rPr>
          <w:rFonts w:ascii="Times New Roman" w:hAnsi="Times New Roman" w:cs="Times New Roman"/>
          <w:sz w:val="24"/>
          <w:szCs w:val="24"/>
        </w:rPr>
        <w:t>We also reiterate our support for updat</w:t>
      </w:r>
      <w:r w:rsidR="007729C5" w:rsidRPr="009259AB">
        <w:rPr>
          <w:rFonts w:ascii="Times New Roman" w:hAnsi="Times New Roman" w:cs="Times New Roman"/>
          <w:sz w:val="24"/>
          <w:szCs w:val="24"/>
        </w:rPr>
        <w:t>ing</w:t>
      </w:r>
      <w:r w:rsidRPr="009259AB">
        <w:rPr>
          <w:rFonts w:ascii="Times New Roman" w:hAnsi="Times New Roman" w:cs="Times New Roman"/>
          <w:sz w:val="24"/>
          <w:szCs w:val="24"/>
        </w:rPr>
        <w:t xml:space="preserve"> the </w:t>
      </w:r>
      <w:r w:rsidRPr="009259AB">
        <w:rPr>
          <w:rFonts w:ascii="Times New Roman" w:eastAsia="Times New Roman" w:hAnsi="Times New Roman" w:cs="Times New Roman"/>
          <w:sz w:val="24"/>
          <w:szCs w:val="24"/>
          <w:shd w:val="clear" w:color="auto" w:fill="FFFFFF"/>
        </w:rPr>
        <w:t>term “interpretative rules” to “interpretive rules.”  This change would bring the Act into conformity with virtually universal usage.</w:t>
      </w:r>
      <w:r w:rsidR="00BD0606">
        <w:rPr>
          <w:rStyle w:val="FootnoteReference"/>
          <w:rFonts w:ascii="Times New Roman" w:eastAsia="Times New Roman" w:hAnsi="Times New Roman"/>
          <w:sz w:val="24"/>
          <w:szCs w:val="24"/>
          <w:shd w:val="clear" w:color="auto" w:fill="FFFFFF"/>
        </w:rPr>
        <w:footnoteReference w:id="18"/>
      </w:r>
    </w:p>
    <w:p w14:paraId="2122ECE6" w14:textId="77777777" w:rsidR="002F5953" w:rsidRDefault="002F5953" w:rsidP="006D6B7B">
      <w:pPr>
        <w:rPr>
          <w:rFonts w:ascii="Times New Roman" w:hAnsi="Times New Roman" w:cs="Times New Roman"/>
        </w:rPr>
      </w:pPr>
    </w:p>
    <w:p w14:paraId="53E70407" w14:textId="77777777" w:rsidR="00435ACD" w:rsidRPr="002F5953" w:rsidRDefault="00435ACD" w:rsidP="00332AAB">
      <w:pPr>
        <w:ind w:firstLine="720"/>
        <w:rPr>
          <w:rFonts w:ascii="Times New Roman" w:hAnsi="Times New Roman" w:cs="Times New Roman"/>
        </w:rPr>
      </w:pPr>
      <w:r w:rsidRPr="00332AAB">
        <w:rPr>
          <w:rFonts w:ascii="Times New Roman" w:hAnsi="Times New Roman" w:cs="Times New Roman"/>
        </w:rPr>
        <w:t>Finally, we also suggest that the Act be conformed to modern word usage by substituting “rulemaking” for the two-word version “rule making” wherever it appears.</w:t>
      </w:r>
    </w:p>
    <w:p w14:paraId="60925D87" w14:textId="77777777" w:rsidR="00435ACD" w:rsidRPr="00435ACD" w:rsidRDefault="00435ACD" w:rsidP="006D6B7B">
      <w:pPr>
        <w:rPr>
          <w:rFonts w:ascii="Times New Roman" w:hAnsi="Times New Roman" w:cs="Times New Roman"/>
        </w:rPr>
      </w:pPr>
    </w:p>
    <w:p w14:paraId="187C97BB" w14:textId="5441AD61" w:rsidR="006D6B7B" w:rsidRPr="009259AB" w:rsidRDefault="006D6B7B" w:rsidP="006D6B7B">
      <w:pPr>
        <w:rPr>
          <w:rFonts w:ascii="Times New Roman" w:hAnsi="Times New Roman" w:cs="Times New Roman"/>
          <w:b/>
        </w:rPr>
      </w:pPr>
      <w:r w:rsidRPr="009259AB">
        <w:rPr>
          <w:rFonts w:ascii="Times New Roman" w:hAnsi="Times New Roman" w:cs="Times New Roman"/>
          <w:b/>
        </w:rPr>
        <w:t>V.</w:t>
      </w:r>
      <w:r w:rsidR="00DB0F49" w:rsidRPr="009259AB">
        <w:rPr>
          <w:rFonts w:ascii="Times New Roman" w:hAnsi="Times New Roman" w:cs="Times New Roman"/>
          <w:b/>
        </w:rPr>
        <w:tab/>
      </w:r>
      <w:r w:rsidR="00120D49">
        <w:rPr>
          <w:rFonts w:ascii="Times New Roman" w:hAnsi="Times New Roman" w:cs="Times New Roman"/>
          <w:b/>
        </w:rPr>
        <w:t xml:space="preserve">Address </w:t>
      </w:r>
      <w:r w:rsidR="006B30CE">
        <w:rPr>
          <w:rFonts w:ascii="Times New Roman" w:hAnsi="Times New Roman" w:cs="Times New Roman"/>
          <w:b/>
        </w:rPr>
        <w:t>“</w:t>
      </w:r>
      <w:r w:rsidR="00CB1599">
        <w:rPr>
          <w:rFonts w:ascii="Times New Roman" w:hAnsi="Times New Roman" w:cs="Times New Roman"/>
          <w:b/>
        </w:rPr>
        <w:t>m</w:t>
      </w:r>
      <w:r w:rsidRPr="009259AB">
        <w:rPr>
          <w:rFonts w:ascii="Times New Roman" w:hAnsi="Times New Roman" w:cs="Times New Roman"/>
          <w:b/>
        </w:rPr>
        <w:t>idnight</w:t>
      </w:r>
      <w:r w:rsidR="006B30CE">
        <w:rPr>
          <w:rFonts w:ascii="Times New Roman" w:hAnsi="Times New Roman" w:cs="Times New Roman"/>
          <w:b/>
        </w:rPr>
        <w:t>”</w:t>
      </w:r>
      <w:r w:rsidRPr="009259AB">
        <w:rPr>
          <w:rFonts w:ascii="Times New Roman" w:hAnsi="Times New Roman" w:cs="Times New Roman"/>
          <w:b/>
        </w:rPr>
        <w:t xml:space="preserve"> </w:t>
      </w:r>
      <w:r w:rsidR="00DB0F49" w:rsidRPr="009259AB">
        <w:rPr>
          <w:rFonts w:ascii="Times New Roman" w:hAnsi="Times New Roman" w:cs="Times New Roman"/>
          <w:b/>
        </w:rPr>
        <w:t>r</w:t>
      </w:r>
      <w:r w:rsidRPr="009259AB">
        <w:rPr>
          <w:rFonts w:ascii="Times New Roman" w:hAnsi="Times New Roman" w:cs="Times New Roman"/>
          <w:b/>
        </w:rPr>
        <w:t>ules</w:t>
      </w:r>
    </w:p>
    <w:p w14:paraId="0D668143" w14:textId="77777777" w:rsidR="006D6B7B" w:rsidRPr="009259AB" w:rsidRDefault="006D6B7B" w:rsidP="006D6B7B">
      <w:pPr>
        <w:rPr>
          <w:rFonts w:ascii="Times New Roman" w:hAnsi="Times New Roman" w:cs="Times New Roman"/>
        </w:rPr>
      </w:pPr>
    </w:p>
    <w:p w14:paraId="314261A3" w14:textId="655C2B0F" w:rsidR="00F44A41" w:rsidRPr="009259AB" w:rsidRDefault="006D6B7B" w:rsidP="00FE382E">
      <w:pPr>
        <w:widowControl w:val="0"/>
        <w:autoSpaceDE w:val="0"/>
        <w:autoSpaceDN w:val="0"/>
        <w:adjustRightInd w:val="0"/>
        <w:spacing w:after="240"/>
        <w:ind w:firstLine="720"/>
        <w:rPr>
          <w:rFonts w:ascii="Times New Roman" w:hAnsi="Times New Roman" w:cs="Times New Roman"/>
        </w:rPr>
      </w:pPr>
      <w:r w:rsidRPr="009259AB">
        <w:rPr>
          <w:rFonts w:ascii="Times New Roman" w:hAnsi="Times New Roman" w:cs="Times New Roman"/>
        </w:rPr>
        <w:t xml:space="preserve">Outgoing administrations being replaced by one of the other political party are often criticized for issuing rules in their waning days that become effective during the new administration. ACUS </w:t>
      </w:r>
      <w:r w:rsidR="007A02BE" w:rsidRPr="009259AB">
        <w:rPr>
          <w:rFonts w:ascii="Times New Roman" w:hAnsi="Times New Roman" w:cs="Times New Roman"/>
        </w:rPr>
        <w:t xml:space="preserve">recently </w:t>
      </w:r>
      <w:r w:rsidRPr="009259AB">
        <w:rPr>
          <w:rFonts w:ascii="Times New Roman" w:hAnsi="Times New Roman" w:cs="Times New Roman"/>
        </w:rPr>
        <w:t>addressed the issue.</w:t>
      </w:r>
      <w:r w:rsidR="00F44A41" w:rsidRPr="009259AB">
        <w:rPr>
          <w:rStyle w:val="FootnoteReference"/>
          <w:rFonts w:ascii="Times New Roman" w:hAnsi="Times New Roman"/>
        </w:rPr>
        <w:footnoteReference w:id="19"/>
      </w:r>
      <w:r w:rsidRPr="009259AB">
        <w:rPr>
          <w:rFonts w:ascii="Times New Roman" w:hAnsi="Times New Roman" w:cs="Times New Roman"/>
        </w:rPr>
        <w:t xml:space="preserve"> </w:t>
      </w:r>
      <w:r w:rsidR="008B00A7">
        <w:rPr>
          <w:rFonts w:ascii="Times New Roman" w:hAnsi="Times New Roman" w:cs="Times New Roman"/>
        </w:rPr>
        <w:t xml:space="preserve"> </w:t>
      </w:r>
      <w:r w:rsidRPr="009259AB">
        <w:rPr>
          <w:rFonts w:ascii="Times New Roman" w:hAnsi="Times New Roman" w:cs="Times New Roman"/>
        </w:rPr>
        <w:t>Its recommendation opines that incoming administrations should be authorized to delay the effective date of such “midnight” rules while they examine their merits, and that the public should be given the opportunity to comment on whether such rules should be amended, rescinded or further delayed</w:t>
      </w:r>
      <w:r w:rsidR="00F44A41" w:rsidRPr="009259AB">
        <w:rPr>
          <w:rFonts w:ascii="Times New Roman" w:hAnsi="Times New Roman" w:cs="Times New Roman"/>
        </w:rPr>
        <w:t xml:space="preserve">.  </w:t>
      </w:r>
      <w:r w:rsidR="006F0F7E" w:rsidRPr="009259AB">
        <w:rPr>
          <w:rFonts w:ascii="Times New Roman" w:hAnsi="Times New Roman" w:cs="Times New Roman"/>
        </w:rPr>
        <w:t xml:space="preserve">We propose that either 5 U.S.C. § 553 of the APA be amended to track the ACUS recommendation, or a new provision be added, </w:t>
      </w:r>
      <w:r w:rsidR="009E1170">
        <w:rPr>
          <w:rFonts w:ascii="Times New Roman" w:hAnsi="Times New Roman" w:cs="Times New Roman"/>
        </w:rPr>
        <w:t xml:space="preserve">such </w:t>
      </w:r>
      <w:r w:rsidR="006F0F7E" w:rsidRPr="009259AB">
        <w:rPr>
          <w:rFonts w:ascii="Times New Roman" w:hAnsi="Times New Roman" w:cs="Times New Roman"/>
        </w:rPr>
        <w:t xml:space="preserve">as </w:t>
      </w:r>
      <w:r w:rsidR="009E1170">
        <w:rPr>
          <w:rFonts w:ascii="Times New Roman" w:hAnsi="Times New Roman" w:cs="Times New Roman"/>
        </w:rPr>
        <w:t xml:space="preserve">the </w:t>
      </w:r>
      <w:r w:rsidR="006F0F7E" w:rsidRPr="009259AB">
        <w:rPr>
          <w:rFonts w:ascii="Times New Roman" w:hAnsi="Times New Roman" w:cs="Times New Roman"/>
        </w:rPr>
        <w:t>follow</w:t>
      </w:r>
      <w:r w:rsidR="009E1170">
        <w:rPr>
          <w:rFonts w:ascii="Times New Roman" w:hAnsi="Times New Roman" w:cs="Times New Roman"/>
        </w:rPr>
        <w:t>ing</w:t>
      </w:r>
      <w:r w:rsidR="006034C9" w:rsidRPr="009259AB">
        <w:rPr>
          <w:rFonts w:ascii="Times New Roman" w:hAnsi="Times New Roman" w:cs="Times New Roman"/>
        </w:rPr>
        <w:t>:</w:t>
      </w:r>
    </w:p>
    <w:p w14:paraId="2D877DC4" w14:textId="3F0F1E89" w:rsidR="006034C9" w:rsidRPr="009259AB" w:rsidRDefault="006034C9" w:rsidP="00752E8B">
      <w:pPr>
        <w:widowControl w:val="0"/>
        <w:autoSpaceDE w:val="0"/>
        <w:autoSpaceDN w:val="0"/>
        <w:adjustRightInd w:val="0"/>
        <w:ind w:left="720"/>
        <w:rPr>
          <w:rFonts w:ascii="Times New Roman" w:hAnsi="Times New Roman" w:cs="Times New Roman"/>
        </w:rPr>
      </w:pPr>
      <w:r w:rsidRPr="009259AB">
        <w:rPr>
          <w:rFonts w:ascii="Times New Roman" w:hAnsi="Times New Roman" w:cs="Times New Roman"/>
        </w:rPr>
        <w:t>(x) RULES ADOPTED AT THE END OF A PRESIDENTIAL ADMINISTRATION.—</w:t>
      </w:r>
    </w:p>
    <w:p w14:paraId="02103C23" w14:textId="77777777" w:rsidR="006F0F7E" w:rsidRPr="009259AB" w:rsidRDefault="006034C9" w:rsidP="006F0F7E">
      <w:pPr>
        <w:widowControl w:val="0"/>
        <w:autoSpaceDE w:val="0"/>
        <w:autoSpaceDN w:val="0"/>
        <w:adjustRightInd w:val="0"/>
        <w:ind w:left="720" w:firstLine="720"/>
        <w:rPr>
          <w:rFonts w:ascii="Times New Roman" w:hAnsi="Times New Roman" w:cs="Times New Roman"/>
        </w:rPr>
      </w:pPr>
      <w:r w:rsidRPr="009259AB">
        <w:rPr>
          <w:rFonts w:ascii="Times New Roman" w:hAnsi="Times New Roman" w:cs="Times New Roman"/>
        </w:rPr>
        <w:t>(A) During the 60-day period beginning on a transitional inauguration day (as defined in section 3349a), with respect to any final rule that had been placed on file for public inspection by the Office of the Federal Register or published in the Federal Register as of the date of the inauguration, but which had not yet become effective by the date of the inauguration, the agency issuing the rule may, without notice and comment, delay the effective date of the rule for not more than 60 days for the purpose of obtaining public comment on whether the rule should be amended or rescinded or its effective date further delayed.</w:t>
      </w:r>
    </w:p>
    <w:p w14:paraId="00448B0C" w14:textId="10795F05" w:rsidR="006F0F7E" w:rsidRPr="009259AB" w:rsidRDefault="006F0F7E" w:rsidP="004623F0">
      <w:pPr>
        <w:widowControl w:val="0"/>
        <w:autoSpaceDE w:val="0"/>
        <w:autoSpaceDN w:val="0"/>
        <w:adjustRightInd w:val="0"/>
        <w:ind w:left="720" w:firstLine="720"/>
        <w:rPr>
          <w:rFonts w:ascii="Times New Roman" w:hAnsi="Times New Roman" w:cs="Times New Roman"/>
        </w:rPr>
      </w:pPr>
      <w:r w:rsidRPr="009259AB">
        <w:rPr>
          <w:rFonts w:ascii="Times New Roman" w:hAnsi="Times New Roman" w:cs="Times New Roman"/>
        </w:rPr>
        <w:t xml:space="preserve"> (B) If an agency delays the effective date of a rule under subparagraph (A), the agency shall give the public not less than 30 days to submit comments on whether the rule should be amended, rescinded or allowed to go into effect as written.</w:t>
      </w:r>
    </w:p>
    <w:p w14:paraId="001A5E09" w14:textId="77777777" w:rsidR="00134405" w:rsidRPr="009259AB" w:rsidRDefault="00134405" w:rsidP="006D6B7B">
      <w:pPr>
        <w:rPr>
          <w:rFonts w:ascii="Times New Roman" w:hAnsi="Times New Roman" w:cs="Times New Roman"/>
        </w:rPr>
      </w:pPr>
    </w:p>
    <w:p w14:paraId="584A2FAF" w14:textId="45AFC4C9" w:rsidR="006D6B7B" w:rsidRPr="009259AB" w:rsidRDefault="006D6B7B" w:rsidP="006D6B7B">
      <w:pPr>
        <w:rPr>
          <w:rFonts w:ascii="Times New Roman" w:hAnsi="Times New Roman" w:cs="Times New Roman"/>
          <w:b/>
        </w:rPr>
      </w:pPr>
      <w:r w:rsidRPr="009259AB">
        <w:rPr>
          <w:rFonts w:ascii="Times New Roman" w:hAnsi="Times New Roman" w:cs="Times New Roman"/>
          <w:b/>
        </w:rPr>
        <w:t>VI.</w:t>
      </w:r>
      <w:r w:rsidR="00DB0F49" w:rsidRPr="009259AB">
        <w:rPr>
          <w:rFonts w:ascii="Times New Roman" w:hAnsi="Times New Roman" w:cs="Times New Roman"/>
          <w:b/>
        </w:rPr>
        <w:tab/>
      </w:r>
      <w:r w:rsidR="00120D49">
        <w:rPr>
          <w:rFonts w:ascii="Times New Roman" w:hAnsi="Times New Roman" w:cs="Times New Roman"/>
          <w:b/>
        </w:rPr>
        <w:t>Promote r</w:t>
      </w:r>
      <w:r w:rsidRPr="009259AB">
        <w:rPr>
          <w:rFonts w:ascii="Times New Roman" w:hAnsi="Times New Roman" w:cs="Times New Roman"/>
          <w:b/>
        </w:rPr>
        <w:t xml:space="preserve">etrospective </w:t>
      </w:r>
      <w:r w:rsidR="00DB0F49" w:rsidRPr="009259AB">
        <w:rPr>
          <w:rFonts w:ascii="Times New Roman" w:hAnsi="Times New Roman" w:cs="Times New Roman"/>
          <w:b/>
        </w:rPr>
        <w:t>r</w:t>
      </w:r>
      <w:r w:rsidRPr="009259AB">
        <w:rPr>
          <w:rFonts w:ascii="Times New Roman" w:hAnsi="Times New Roman" w:cs="Times New Roman"/>
          <w:b/>
        </w:rPr>
        <w:t>eview</w:t>
      </w:r>
    </w:p>
    <w:p w14:paraId="31143B3F" w14:textId="77777777" w:rsidR="006D6B7B" w:rsidRPr="009259AB" w:rsidRDefault="006D6B7B" w:rsidP="006D6B7B">
      <w:pPr>
        <w:rPr>
          <w:rFonts w:ascii="Times New Roman" w:hAnsi="Times New Roman" w:cs="Times New Roman"/>
        </w:rPr>
      </w:pPr>
    </w:p>
    <w:p w14:paraId="5EF432D2" w14:textId="3D65ECC6" w:rsidR="006034C9" w:rsidRPr="009259AB" w:rsidRDefault="006D6B7B" w:rsidP="00752E8B">
      <w:pPr>
        <w:widowControl w:val="0"/>
        <w:autoSpaceDE w:val="0"/>
        <w:autoSpaceDN w:val="0"/>
        <w:adjustRightInd w:val="0"/>
        <w:spacing w:after="240"/>
        <w:ind w:firstLine="720"/>
        <w:rPr>
          <w:rFonts w:ascii="Times New Roman" w:hAnsi="Times New Roman" w:cs="Times New Roman"/>
        </w:rPr>
      </w:pPr>
      <w:r w:rsidRPr="009259AB">
        <w:rPr>
          <w:rFonts w:ascii="Times New Roman" w:hAnsi="Times New Roman" w:cs="Times New Roman"/>
        </w:rPr>
        <w:t xml:space="preserve">To varying degrees, </w:t>
      </w:r>
      <w:r w:rsidR="009E1170">
        <w:rPr>
          <w:rFonts w:ascii="Times New Roman" w:hAnsi="Times New Roman" w:cs="Times New Roman"/>
        </w:rPr>
        <w:t>most</w:t>
      </w:r>
      <w:r w:rsidRPr="009259AB">
        <w:rPr>
          <w:rFonts w:ascii="Times New Roman" w:hAnsi="Times New Roman" w:cs="Times New Roman"/>
        </w:rPr>
        <w:t xml:space="preserve"> rules become out of date with the passage of time. </w:t>
      </w:r>
      <w:r w:rsidR="006034C9" w:rsidRPr="009259AB">
        <w:rPr>
          <w:rFonts w:ascii="Times New Roman" w:hAnsi="Times New Roman" w:cs="Times New Roman"/>
        </w:rPr>
        <w:t xml:space="preserve"> </w:t>
      </w:r>
      <w:r w:rsidRPr="009259AB">
        <w:rPr>
          <w:rFonts w:ascii="Times New Roman" w:hAnsi="Times New Roman" w:cs="Times New Roman"/>
        </w:rPr>
        <w:t xml:space="preserve">One option for </w:t>
      </w:r>
      <w:r w:rsidR="001A1011">
        <w:rPr>
          <w:rFonts w:ascii="Times New Roman" w:hAnsi="Times New Roman" w:cs="Times New Roman"/>
        </w:rPr>
        <w:t>promoting</w:t>
      </w:r>
      <w:r w:rsidR="00CB1599">
        <w:rPr>
          <w:rFonts w:ascii="Times New Roman" w:hAnsi="Times New Roman" w:cs="Times New Roman"/>
        </w:rPr>
        <w:t xml:space="preserve"> </w:t>
      </w:r>
      <w:r w:rsidRPr="009259AB">
        <w:rPr>
          <w:rFonts w:ascii="Times New Roman" w:hAnsi="Times New Roman" w:cs="Times New Roman"/>
        </w:rPr>
        <w:t xml:space="preserve">continued timeliness and appropriateness is for agencies to review all of their rules over </w:t>
      </w:r>
      <w:r w:rsidR="002E257B">
        <w:rPr>
          <w:rFonts w:ascii="Times New Roman" w:hAnsi="Times New Roman" w:cs="Times New Roman"/>
        </w:rPr>
        <w:t>a specified</w:t>
      </w:r>
      <w:r w:rsidRPr="009259AB">
        <w:rPr>
          <w:rFonts w:ascii="Times New Roman" w:hAnsi="Times New Roman" w:cs="Times New Roman"/>
        </w:rPr>
        <w:t xml:space="preserve"> timeframe. </w:t>
      </w:r>
      <w:r w:rsidR="006034C9" w:rsidRPr="009259AB">
        <w:rPr>
          <w:rFonts w:ascii="Times New Roman" w:hAnsi="Times New Roman" w:cs="Times New Roman"/>
        </w:rPr>
        <w:t xml:space="preserve"> </w:t>
      </w:r>
      <w:r w:rsidRPr="009259AB">
        <w:rPr>
          <w:rFonts w:ascii="Times New Roman" w:hAnsi="Times New Roman" w:cs="Times New Roman"/>
        </w:rPr>
        <w:t xml:space="preserve">This is the approach of the Regulatory Flexibility Act, at least with respect to rules that have a significant </w:t>
      </w:r>
      <w:r w:rsidR="00CB1599">
        <w:rPr>
          <w:rFonts w:ascii="Times New Roman" w:hAnsi="Times New Roman" w:cs="Times New Roman"/>
        </w:rPr>
        <w:t xml:space="preserve">economic </w:t>
      </w:r>
      <w:r w:rsidRPr="009259AB">
        <w:rPr>
          <w:rFonts w:ascii="Times New Roman" w:hAnsi="Times New Roman" w:cs="Times New Roman"/>
        </w:rPr>
        <w:t>impact on a substantial number of small entities.</w:t>
      </w:r>
      <w:r w:rsidR="002E257B">
        <w:rPr>
          <w:rStyle w:val="FootnoteReference"/>
          <w:rFonts w:ascii="Times New Roman" w:hAnsi="Times New Roman"/>
        </w:rPr>
        <w:footnoteReference w:id="20"/>
      </w:r>
      <w:r w:rsidR="00A86F46" w:rsidRPr="009259AB">
        <w:rPr>
          <w:rFonts w:ascii="Times New Roman" w:hAnsi="Times New Roman" w:cs="Times New Roman"/>
        </w:rPr>
        <w:t xml:space="preserve">  Such </w:t>
      </w:r>
      <w:r w:rsidRPr="009259AB">
        <w:rPr>
          <w:rFonts w:ascii="Times New Roman" w:hAnsi="Times New Roman" w:cs="Times New Roman"/>
        </w:rPr>
        <w:t xml:space="preserve">an across-the-board approach </w:t>
      </w:r>
      <w:r w:rsidR="00A86F46" w:rsidRPr="009259AB">
        <w:rPr>
          <w:rFonts w:ascii="Times New Roman" w:hAnsi="Times New Roman" w:cs="Times New Roman"/>
        </w:rPr>
        <w:t xml:space="preserve">has multiple shortcomings, however.  First, rules are implemented over varying timeframes, and the data necessary to determine if a rule has been effective in accomplishing its objectives may or may not be available at a given date.  Second, </w:t>
      </w:r>
      <w:r w:rsidRPr="009259AB">
        <w:rPr>
          <w:rFonts w:ascii="Times New Roman" w:hAnsi="Times New Roman" w:cs="Times New Roman"/>
        </w:rPr>
        <w:t xml:space="preserve">some rules may be more </w:t>
      </w:r>
      <w:r w:rsidR="009D0D01" w:rsidRPr="009259AB">
        <w:rPr>
          <w:rFonts w:ascii="Times New Roman" w:hAnsi="Times New Roman" w:cs="Times New Roman"/>
        </w:rPr>
        <w:t>in need of change</w:t>
      </w:r>
      <w:r w:rsidRPr="009259AB">
        <w:rPr>
          <w:rFonts w:ascii="Times New Roman" w:hAnsi="Times New Roman" w:cs="Times New Roman"/>
        </w:rPr>
        <w:t xml:space="preserve"> than others</w:t>
      </w:r>
      <w:r w:rsidR="00A86F46" w:rsidRPr="009259AB">
        <w:rPr>
          <w:rFonts w:ascii="Times New Roman" w:hAnsi="Times New Roman" w:cs="Times New Roman"/>
        </w:rPr>
        <w:t>.  Finally</w:t>
      </w:r>
      <w:r w:rsidRPr="009259AB">
        <w:rPr>
          <w:rFonts w:ascii="Times New Roman" w:hAnsi="Times New Roman" w:cs="Times New Roman"/>
        </w:rPr>
        <w:t xml:space="preserve">, external stakeholders </w:t>
      </w:r>
      <w:r w:rsidR="00A86F46" w:rsidRPr="009259AB">
        <w:rPr>
          <w:rFonts w:ascii="Times New Roman" w:hAnsi="Times New Roman" w:cs="Times New Roman"/>
        </w:rPr>
        <w:t xml:space="preserve">will almost certainly </w:t>
      </w:r>
      <w:r w:rsidRPr="009259AB">
        <w:rPr>
          <w:rFonts w:ascii="Times New Roman" w:hAnsi="Times New Roman" w:cs="Times New Roman"/>
        </w:rPr>
        <w:t xml:space="preserve">be far more concerned about </w:t>
      </w:r>
      <w:r w:rsidR="00A86F46" w:rsidRPr="009259AB">
        <w:rPr>
          <w:rFonts w:ascii="Times New Roman" w:hAnsi="Times New Roman" w:cs="Times New Roman"/>
        </w:rPr>
        <w:t xml:space="preserve">some rules </w:t>
      </w:r>
      <w:r w:rsidRPr="009259AB">
        <w:rPr>
          <w:rFonts w:ascii="Times New Roman" w:hAnsi="Times New Roman" w:cs="Times New Roman"/>
        </w:rPr>
        <w:t xml:space="preserve">than </w:t>
      </w:r>
      <w:r w:rsidR="00A86F46" w:rsidRPr="009259AB">
        <w:rPr>
          <w:rFonts w:ascii="Times New Roman" w:hAnsi="Times New Roman" w:cs="Times New Roman"/>
        </w:rPr>
        <w:t>o</w:t>
      </w:r>
      <w:r w:rsidRPr="009259AB">
        <w:rPr>
          <w:rFonts w:ascii="Times New Roman" w:hAnsi="Times New Roman" w:cs="Times New Roman"/>
        </w:rPr>
        <w:t>the</w:t>
      </w:r>
      <w:r w:rsidR="00A86F46" w:rsidRPr="009259AB">
        <w:rPr>
          <w:rFonts w:ascii="Times New Roman" w:hAnsi="Times New Roman" w:cs="Times New Roman"/>
        </w:rPr>
        <w:t>rs</w:t>
      </w:r>
      <w:r w:rsidRPr="009259AB">
        <w:rPr>
          <w:rFonts w:ascii="Times New Roman" w:hAnsi="Times New Roman" w:cs="Times New Roman"/>
        </w:rPr>
        <w:t>.</w:t>
      </w:r>
      <w:r w:rsidR="00A86F46" w:rsidRPr="009259AB">
        <w:rPr>
          <w:rFonts w:ascii="Times New Roman" w:hAnsi="Times New Roman" w:cs="Times New Roman"/>
        </w:rPr>
        <w:t xml:space="preserve">  Agency resources devoted to retrospective review will come necessarily at the expense of issuing new rules or enforcing existing ones, and thus should be focused on the rules with the greatest impact that most warrant review</w:t>
      </w:r>
      <w:r w:rsidR="001529F5">
        <w:rPr>
          <w:rFonts w:ascii="Times New Roman" w:hAnsi="Times New Roman" w:cs="Times New Roman"/>
        </w:rPr>
        <w:t>.</w:t>
      </w:r>
    </w:p>
    <w:p w14:paraId="2B68A4BE" w14:textId="4F191135" w:rsidR="00A86F46" w:rsidRPr="009259AB" w:rsidRDefault="006D6B7B" w:rsidP="00752E8B">
      <w:pPr>
        <w:widowControl w:val="0"/>
        <w:autoSpaceDE w:val="0"/>
        <w:autoSpaceDN w:val="0"/>
        <w:adjustRightInd w:val="0"/>
        <w:spacing w:after="240"/>
        <w:ind w:firstLine="720"/>
        <w:rPr>
          <w:rFonts w:ascii="Times New Roman" w:hAnsi="Times New Roman" w:cs="Times New Roman"/>
        </w:rPr>
      </w:pPr>
      <w:r w:rsidRPr="009259AB">
        <w:rPr>
          <w:rFonts w:ascii="Times New Roman" w:hAnsi="Times New Roman" w:cs="Times New Roman"/>
        </w:rPr>
        <w:t xml:space="preserve">The </w:t>
      </w:r>
      <w:r w:rsidR="006034C9" w:rsidRPr="009259AB">
        <w:rPr>
          <w:rFonts w:ascii="Times New Roman" w:hAnsi="Times New Roman" w:cs="Times New Roman"/>
        </w:rPr>
        <w:t>ABA</w:t>
      </w:r>
      <w:r w:rsidRPr="009259AB">
        <w:rPr>
          <w:rFonts w:ascii="Times New Roman" w:hAnsi="Times New Roman" w:cs="Times New Roman"/>
        </w:rPr>
        <w:t xml:space="preserve"> </w:t>
      </w:r>
      <w:r w:rsidR="00AF352C">
        <w:rPr>
          <w:rFonts w:ascii="Times New Roman" w:hAnsi="Times New Roman" w:cs="Times New Roman"/>
        </w:rPr>
        <w:t xml:space="preserve">therefore supports two reforms, neither of which </w:t>
      </w:r>
      <w:r w:rsidR="00AD7663">
        <w:rPr>
          <w:rFonts w:ascii="Times New Roman" w:hAnsi="Times New Roman" w:cs="Times New Roman"/>
        </w:rPr>
        <w:t xml:space="preserve">would be </w:t>
      </w:r>
      <w:r w:rsidR="00844EC2">
        <w:rPr>
          <w:rFonts w:ascii="Times New Roman" w:hAnsi="Times New Roman" w:cs="Times New Roman"/>
        </w:rPr>
        <w:t xml:space="preserve">subject to judicial </w:t>
      </w:r>
      <w:proofErr w:type="gramStart"/>
      <w:r w:rsidR="00844EC2">
        <w:rPr>
          <w:rFonts w:ascii="Times New Roman" w:hAnsi="Times New Roman" w:cs="Times New Roman"/>
        </w:rPr>
        <w:t xml:space="preserve">review, </w:t>
      </w:r>
      <w:r w:rsidR="00B724E1" w:rsidRPr="009259AB">
        <w:rPr>
          <w:rFonts w:ascii="Times New Roman" w:hAnsi="Times New Roman" w:cs="Times New Roman"/>
        </w:rPr>
        <w:t>that</w:t>
      </w:r>
      <w:proofErr w:type="gramEnd"/>
      <w:r w:rsidR="00B724E1" w:rsidRPr="009259AB">
        <w:rPr>
          <w:rFonts w:ascii="Times New Roman" w:hAnsi="Times New Roman" w:cs="Times New Roman"/>
        </w:rPr>
        <w:t xml:space="preserve"> would take account of these considerations in promoting retrospective review.</w:t>
      </w:r>
    </w:p>
    <w:p w14:paraId="7FD0BF1F" w14:textId="2EDE65E0" w:rsidR="00844EC2" w:rsidRDefault="00B724E1" w:rsidP="00844EC2">
      <w:pPr>
        <w:widowControl w:val="0"/>
        <w:autoSpaceDE w:val="0"/>
        <w:autoSpaceDN w:val="0"/>
        <w:adjustRightInd w:val="0"/>
        <w:spacing w:after="240"/>
        <w:ind w:firstLine="720"/>
        <w:rPr>
          <w:rFonts w:ascii="Times New Roman" w:eastAsia="Times New Roman" w:hAnsi="Times New Roman" w:cs="Times New Roman"/>
        </w:rPr>
      </w:pPr>
      <w:r w:rsidRPr="009259AB">
        <w:rPr>
          <w:rFonts w:ascii="Times New Roman" w:hAnsi="Times New Roman" w:cs="Times New Roman"/>
        </w:rPr>
        <w:t xml:space="preserve">First, </w:t>
      </w:r>
      <w:r w:rsidR="00A86F46" w:rsidRPr="009259AB">
        <w:rPr>
          <w:rFonts w:ascii="Times New Roman" w:hAnsi="Times New Roman" w:cs="Times New Roman"/>
        </w:rPr>
        <w:t>we recommend that the preamble to each major rule</w:t>
      </w:r>
      <w:r w:rsidR="00A86F46" w:rsidRPr="009259AB">
        <w:rPr>
          <w:rStyle w:val="FootnoteReference"/>
          <w:rFonts w:ascii="Times New Roman" w:hAnsi="Times New Roman"/>
        </w:rPr>
        <w:footnoteReference w:id="21"/>
      </w:r>
      <w:r w:rsidRPr="009259AB">
        <w:rPr>
          <w:rFonts w:ascii="Times New Roman" w:hAnsi="Times New Roman" w:cs="Times New Roman"/>
        </w:rPr>
        <w:t xml:space="preserve"> </w:t>
      </w:r>
      <w:r w:rsidR="00A86F46" w:rsidRPr="009259AB">
        <w:rPr>
          <w:rFonts w:ascii="Times New Roman" w:hAnsi="Times New Roman" w:cs="Times New Roman"/>
        </w:rPr>
        <w:t xml:space="preserve">contain </w:t>
      </w:r>
      <w:r w:rsidR="009E1170">
        <w:rPr>
          <w:rFonts w:ascii="Times New Roman" w:hAnsi="Times New Roman" w:cs="Times New Roman"/>
        </w:rPr>
        <w:t>a</w:t>
      </w:r>
      <w:r w:rsidR="00A86F46" w:rsidRPr="009259AB">
        <w:rPr>
          <w:rFonts w:ascii="Times New Roman" w:hAnsi="Times New Roman" w:cs="Times New Roman"/>
        </w:rPr>
        <w:t xml:space="preserve"> plan </w:t>
      </w:r>
      <w:r w:rsidR="009E1170">
        <w:rPr>
          <w:rFonts w:ascii="Times New Roman" w:hAnsi="Times New Roman" w:cs="Times New Roman"/>
        </w:rPr>
        <w:t xml:space="preserve">that will assist the agency in </w:t>
      </w:r>
      <w:r w:rsidR="00A86F46" w:rsidRPr="009259AB">
        <w:rPr>
          <w:rFonts w:ascii="Times New Roman" w:hAnsi="Times New Roman" w:cs="Times New Roman"/>
        </w:rPr>
        <w:t>assess</w:t>
      </w:r>
      <w:r w:rsidR="009E1170">
        <w:rPr>
          <w:rFonts w:ascii="Times New Roman" w:hAnsi="Times New Roman" w:cs="Times New Roman"/>
        </w:rPr>
        <w:t>ing</w:t>
      </w:r>
      <w:r w:rsidR="00A86F46" w:rsidRPr="009259AB">
        <w:rPr>
          <w:rFonts w:ascii="Times New Roman" w:hAnsi="Times New Roman" w:cs="Times New Roman"/>
        </w:rPr>
        <w:t xml:space="preserve"> the effectiveness of the rule in accomplishing its regulatory objectives.  Such a plan should identify those objectives and describe </w:t>
      </w:r>
      <w:r w:rsidR="00844EC2" w:rsidRPr="009259AB">
        <w:rPr>
          <w:rFonts w:ascii="Times New Roman" w:eastAsia="Times New Roman" w:hAnsi="Times New Roman" w:cs="Times New Roman"/>
        </w:rPr>
        <w:t>information the agency believes w</w:t>
      </w:r>
      <w:r w:rsidR="006B30CE">
        <w:rPr>
          <w:rFonts w:ascii="Times New Roman" w:eastAsia="Times New Roman" w:hAnsi="Times New Roman" w:cs="Times New Roman"/>
        </w:rPr>
        <w:t>ill</w:t>
      </w:r>
      <w:r w:rsidR="00844EC2" w:rsidRPr="009259AB">
        <w:rPr>
          <w:rFonts w:ascii="Times New Roman" w:eastAsia="Times New Roman" w:hAnsi="Times New Roman" w:cs="Times New Roman"/>
        </w:rPr>
        <w:t xml:space="preserve"> enable it to assess the effectiveness of the rule in accomplishing its objectives</w:t>
      </w:r>
      <w:r w:rsidR="006B30CE">
        <w:rPr>
          <w:rFonts w:ascii="Times New Roman" w:eastAsia="Times New Roman" w:hAnsi="Times New Roman" w:cs="Times New Roman"/>
        </w:rPr>
        <w:t xml:space="preserve">.  It may be that other </w:t>
      </w:r>
      <w:r w:rsidR="00844EC2" w:rsidRPr="009259AB">
        <w:rPr>
          <w:rFonts w:ascii="Times New Roman" w:eastAsia="Times New Roman" w:hAnsi="Times New Roman" w:cs="Times New Roman"/>
        </w:rPr>
        <w:t>rules or program activities</w:t>
      </w:r>
      <w:r w:rsidR="006B30CE">
        <w:rPr>
          <w:rFonts w:ascii="Times New Roman" w:eastAsia="Times New Roman" w:hAnsi="Times New Roman" w:cs="Times New Roman"/>
        </w:rPr>
        <w:t xml:space="preserve"> of the agency are also directed toward or affect the relevant objectives.  In such cases, the plan could contemplate </w:t>
      </w:r>
      <w:r w:rsidR="009E1170">
        <w:rPr>
          <w:rFonts w:ascii="Times New Roman" w:eastAsia="Times New Roman" w:hAnsi="Times New Roman" w:cs="Times New Roman"/>
        </w:rPr>
        <w:t>assessment</w:t>
      </w:r>
      <w:r w:rsidR="006B30CE">
        <w:rPr>
          <w:rFonts w:ascii="Times New Roman" w:eastAsia="Times New Roman" w:hAnsi="Times New Roman" w:cs="Times New Roman"/>
        </w:rPr>
        <w:t xml:space="preserve"> of these initiatives collectively</w:t>
      </w:r>
      <w:r w:rsidR="00844EC2">
        <w:rPr>
          <w:rFonts w:ascii="Times New Roman" w:eastAsia="Times New Roman" w:hAnsi="Times New Roman" w:cs="Times New Roman"/>
        </w:rPr>
        <w:t>.  The plan should also describe h</w:t>
      </w:r>
      <w:r w:rsidR="00844EC2" w:rsidRPr="009259AB">
        <w:rPr>
          <w:rFonts w:ascii="Times New Roman" w:eastAsia="Times New Roman" w:hAnsi="Times New Roman" w:cs="Times New Roman"/>
        </w:rPr>
        <w:t xml:space="preserve">ow the agency intends to compile </w:t>
      </w:r>
      <w:r w:rsidR="006B30CE">
        <w:rPr>
          <w:rFonts w:ascii="Times New Roman" w:eastAsia="Times New Roman" w:hAnsi="Times New Roman" w:cs="Times New Roman"/>
        </w:rPr>
        <w:t xml:space="preserve">the relevant </w:t>
      </w:r>
      <w:r w:rsidR="00844EC2" w:rsidRPr="009259AB">
        <w:rPr>
          <w:rFonts w:ascii="Times New Roman" w:eastAsia="Times New Roman" w:hAnsi="Times New Roman" w:cs="Times New Roman"/>
        </w:rPr>
        <w:t>information over time</w:t>
      </w:r>
      <w:r w:rsidR="00844EC2">
        <w:rPr>
          <w:rFonts w:ascii="Times New Roman" w:eastAsia="Times New Roman" w:hAnsi="Times New Roman" w:cs="Times New Roman"/>
        </w:rPr>
        <w:t xml:space="preserve">.  </w:t>
      </w:r>
      <w:r w:rsidR="00A86F46" w:rsidRPr="009259AB">
        <w:rPr>
          <w:rFonts w:ascii="Times New Roman" w:hAnsi="Times New Roman" w:cs="Times New Roman"/>
        </w:rPr>
        <w:t>It would be beneficial for agencies to solicit comments on these issues in notices of proposed rulemaking</w:t>
      </w:r>
      <w:r w:rsidR="00237489" w:rsidRPr="009259AB">
        <w:rPr>
          <w:rFonts w:ascii="Times New Roman" w:hAnsi="Times New Roman" w:cs="Times New Roman"/>
        </w:rPr>
        <w:t xml:space="preserve"> to ensure that the final rule is designed to facilitate the collection of data that will allow evaluation of effectiveness.  This recommendation </w:t>
      </w:r>
      <w:r w:rsidR="009E1170">
        <w:rPr>
          <w:rFonts w:ascii="Times New Roman" w:hAnsi="Times New Roman" w:cs="Times New Roman"/>
        </w:rPr>
        <w:t>builds upon</w:t>
      </w:r>
      <w:r w:rsidR="007729C5" w:rsidRPr="009259AB">
        <w:rPr>
          <w:rFonts w:ascii="Times New Roman" w:hAnsi="Times New Roman" w:cs="Times New Roman"/>
        </w:rPr>
        <w:t xml:space="preserve"> </w:t>
      </w:r>
      <w:r w:rsidR="00237489" w:rsidRPr="009259AB">
        <w:rPr>
          <w:rFonts w:ascii="Times New Roman" w:hAnsi="Times New Roman" w:cs="Times New Roman"/>
        </w:rPr>
        <w:t>a recent ACUS recommendation</w:t>
      </w:r>
      <w:r w:rsidR="00237489" w:rsidRPr="009259AB">
        <w:rPr>
          <w:rStyle w:val="FootnoteReference"/>
          <w:rFonts w:ascii="Times New Roman" w:hAnsi="Times New Roman"/>
        </w:rPr>
        <w:footnoteReference w:id="22"/>
      </w:r>
      <w:r w:rsidR="00237489" w:rsidRPr="009259AB">
        <w:rPr>
          <w:rFonts w:ascii="Times New Roman" w:hAnsi="Times New Roman" w:cs="Times New Roman"/>
        </w:rPr>
        <w:t xml:space="preserve"> and a memorandum from the Office of Management and Budget’s Office of Information and Regulatory Affairs</w:t>
      </w:r>
      <w:r w:rsidR="00DE11F4" w:rsidRPr="009259AB">
        <w:rPr>
          <w:rFonts w:ascii="Times New Roman" w:hAnsi="Times New Roman" w:cs="Times New Roman"/>
        </w:rPr>
        <w:t xml:space="preserve"> (OIRA)</w:t>
      </w:r>
      <w:r w:rsidR="00237489" w:rsidRPr="009259AB">
        <w:rPr>
          <w:rFonts w:ascii="Times New Roman" w:hAnsi="Times New Roman" w:cs="Times New Roman"/>
        </w:rPr>
        <w:t>.</w:t>
      </w:r>
      <w:r w:rsidR="00237489" w:rsidRPr="009259AB">
        <w:rPr>
          <w:rStyle w:val="FootnoteReference"/>
          <w:rFonts w:ascii="Times New Roman" w:hAnsi="Times New Roman"/>
        </w:rPr>
        <w:footnoteReference w:id="23"/>
      </w:r>
    </w:p>
    <w:p w14:paraId="6CFF229E" w14:textId="0F7D1A8C" w:rsidR="006034C9" w:rsidRPr="009259AB" w:rsidRDefault="00237489" w:rsidP="00752E8B">
      <w:pPr>
        <w:widowControl w:val="0"/>
        <w:autoSpaceDE w:val="0"/>
        <w:autoSpaceDN w:val="0"/>
        <w:adjustRightInd w:val="0"/>
        <w:spacing w:after="240"/>
        <w:ind w:firstLine="720"/>
        <w:rPr>
          <w:rFonts w:ascii="Times New Roman" w:hAnsi="Times New Roman" w:cs="Times New Roman"/>
        </w:rPr>
      </w:pPr>
      <w:r w:rsidRPr="009259AB">
        <w:rPr>
          <w:rFonts w:ascii="Times New Roman" w:hAnsi="Times New Roman" w:cs="Times New Roman"/>
        </w:rPr>
        <w:t xml:space="preserve">Second, </w:t>
      </w:r>
      <w:r w:rsidR="006D6B7B" w:rsidRPr="009259AB">
        <w:rPr>
          <w:rFonts w:ascii="Times New Roman" w:hAnsi="Times New Roman" w:cs="Times New Roman"/>
        </w:rPr>
        <w:t xml:space="preserve">agencies </w:t>
      </w:r>
      <w:r w:rsidR="00EC2695" w:rsidRPr="009259AB">
        <w:rPr>
          <w:rFonts w:ascii="Times New Roman" w:hAnsi="Times New Roman" w:cs="Times New Roman"/>
        </w:rPr>
        <w:t xml:space="preserve">should, </w:t>
      </w:r>
      <w:r w:rsidR="006D6B7B" w:rsidRPr="009259AB">
        <w:rPr>
          <w:rFonts w:ascii="Times New Roman" w:hAnsi="Times New Roman" w:cs="Times New Roman"/>
        </w:rPr>
        <w:t>on an ongoing basis</w:t>
      </w:r>
      <w:r w:rsidR="00EC2695" w:rsidRPr="009259AB">
        <w:rPr>
          <w:rFonts w:ascii="Times New Roman" w:hAnsi="Times New Roman" w:cs="Times New Roman"/>
        </w:rPr>
        <w:t>,</w:t>
      </w:r>
      <w:r w:rsidR="006D6B7B" w:rsidRPr="009259AB">
        <w:rPr>
          <w:rFonts w:ascii="Times New Roman" w:hAnsi="Times New Roman" w:cs="Times New Roman"/>
        </w:rPr>
        <w:t xml:space="preserve"> invite members of the public to identify rules that particularly warrant review, and </w:t>
      </w:r>
      <w:r w:rsidR="00EC2695" w:rsidRPr="009259AB">
        <w:rPr>
          <w:rFonts w:ascii="Times New Roman" w:hAnsi="Times New Roman" w:cs="Times New Roman"/>
        </w:rPr>
        <w:t>should</w:t>
      </w:r>
      <w:r w:rsidR="006D6B7B" w:rsidRPr="009259AB">
        <w:rPr>
          <w:rFonts w:ascii="Times New Roman" w:hAnsi="Times New Roman" w:cs="Times New Roman"/>
        </w:rPr>
        <w:t xml:space="preserve"> focus on reviewing such rules. </w:t>
      </w:r>
      <w:r w:rsidR="006034C9" w:rsidRPr="009259AB">
        <w:rPr>
          <w:rFonts w:ascii="Times New Roman" w:hAnsi="Times New Roman" w:cs="Times New Roman"/>
        </w:rPr>
        <w:t xml:space="preserve"> Consistent with the </w:t>
      </w:r>
      <w:r w:rsidR="006B30CE">
        <w:rPr>
          <w:rFonts w:ascii="Times New Roman" w:hAnsi="Times New Roman" w:cs="Times New Roman"/>
        </w:rPr>
        <w:t>shift</w:t>
      </w:r>
      <w:r w:rsidR="00D17DEB" w:rsidRPr="009259AB">
        <w:rPr>
          <w:rFonts w:ascii="Times New Roman" w:hAnsi="Times New Roman" w:cs="Times New Roman"/>
        </w:rPr>
        <w:t xml:space="preserve"> of the rulemaking process to the Internet, </w:t>
      </w:r>
      <w:r w:rsidR="002163B7" w:rsidRPr="009259AB">
        <w:rPr>
          <w:rFonts w:ascii="Times New Roman" w:hAnsi="Times New Roman" w:cs="Times New Roman"/>
        </w:rPr>
        <w:t xml:space="preserve">this invitation </w:t>
      </w:r>
      <w:r w:rsidR="00120D49">
        <w:rPr>
          <w:rFonts w:ascii="Times New Roman" w:hAnsi="Times New Roman" w:cs="Times New Roman"/>
        </w:rPr>
        <w:t xml:space="preserve">should </w:t>
      </w:r>
      <w:r w:rsidR="002163B7" w:rsidRPr="009259AB">
        <w:rPr>
          <w:rFonts w:ascii="Times New Roman" w:hAnsi="Times New Roman" w:cs="Times New Roman"/>
        </w:rPr>
        <w:t>permit</w:t>
      </w:r>
      <w:r w:rsidR="006D6B7B" w:rsidRPr="009259AB">
        <w:rPr>
          <w:rFonts w:ascii="Times New Roman" w:hAnsi="Times New Roman" w:cs="Times New Roman"/>
        </w:rPr>
        <w:t xml:space="preserve"> such “nominations” to be submitted electronically. </w:t>
      </w:r>
      <w:r w:rsidR="00D17DEB" w:rsidRPr="009259AB">
        <w:rPr>
          <w:rFonts w:ascii="Times New Roman" w:hAnsi="Times New Roman" w:cs="Times New Roman"/>
        </w:rPr>
        <w:t xml:space="preserve"> It could also provide for members of the public to vote for or “like” earlier nominations.  </w:t>
      </w:r>
      <w:r w:rsidR="006D6B7B" w:rsidRPr="009259AB">
        <w:rPr>
          <w:rFonts w:ascii="Times New Roman" w:hAnsi="Times New Roman" w:cs="Times New Roman"/>
        </w:rPr>
        <w:t xml:space="preserve">We note that agencies need not accept the suggested reforms, </w:t>
      </w:r>
      <w:r w:rsidR="00D17DEB" w:rsidRPr="009259AB">
        <w:rPr>
          <w:rFonts w:ascii="Times New Roman" w:hAnsi="Times New Roman" w:cs="Times New Roman"/>
        </w:rPr>
        <w:t>prioritize them by their degree of popularity</w:t>
      </w:r>
      <w:r w:rsidR="008A2FC3" w:rsidRPr="009259AB">
        <w:rPr>
          <w:rFonts w:ascii="Times New Roman" w:hAnsi="Times New Roman" w:cs="Times New Roman"/>
        </w:rPr>
        <w:t>, or even respond to them</w:t>
      </w:r>
      <w:r w:rsidR="00D17DEB" w:rsidRPr="009259AB">
        <w:rPr>
          <w:rFonts w:ascii="Times New Roman" w:hAnsi="Times New Roman" w:cs="Times New Roman"/>
        </w:rPr>
        <w:t>.  B</w:t>
      </w:r>
      <w:r w:rsidR="006D6B7B" w:rsidRPr="009259AB">
        <w:rPr>
          <w:rFonts w:ascii="Times New Roman" w:hAnsi="Times New Roman" w:cs="Times New Roman"/>
        </w:rPr>
        <w:t>ut they should at least be receptive to such suggestions from their constituencies</w:t>
      </w:r>
      <w:r w:rsidR="00D17DEB" w:rsidRPr="009259AB">
        <w:rPr>
          <w:rFonts w:ascii="Times New Roman" w:hAnsi="Times New Roman" w:cs="Times New Roman"/>
        </w:rPr>
        <w:t xml:space="preserve"> and give due regard to the relative breadth of support for particular changes</w:t>
      </w:r>
      <w:r w:rsidR="006D6B7B" w:rsidRPr="009259AB">
        <w:rPr>
          <w:rFonts w:ascii="Times New Roman" w:hAnsi="Times New Roman" w:cs="Times New Roman"/>
        </w:rPr>
        <w:t>.</w:t>
      </w:r>
      <w:r w:rsidR="006B30CE">
        <w:rPr>
          <w:rFonts w:ascii="Times New Roman" w:hAnsi="Times New Roman" w:cs="Times New Roman"/>
        </w:rPr>
        <w:t xml:space="preserve">  </w:t>
      </w:r>
      <w:r w:rsidR="00D17DEB" w:rsidRPr="009259AB">
        <w:rPr>
          <w:rFonts w:ascii="Times New Roman" w:hAnsi="Times New Roman" w:cs="Times New Roman"/>
        </w:rPr>
        <w:t xml:space="preserve">Section 553(e) currently says: </w:t>
      </w:r>
      <w:r w:rsidR="001529F5">
        <w:rPr>
          <w:rFonts w:ascii="Times New Roman" w:hAnsi="Times New Roman" w:cs="Times New Roman"/>
        </w:rPr>
        <w:t>“</w:t>
      </w:r>
      <w:r w:rsidR="006034C9" w:rsidRPr="009259AB">
        <w:rPr>
          <w:rFonts w:ascii="Times New Roman" w:hAnsi="Times New Roman" w:cs="Times New Roman"/>
        </w:rPr>
        <w:t>Each agency shall give interested persons the right to petition for the issuance, amendment, or repeal of a rule.</w:t>
      </w:r>
      <w:r w:rsidR="00D17DEB" w:rsidRPr="009259AB">
        <w:rPr>
          <w:rFonts w:ascii="Times New Roman" w:hAnsi="Times New Roman" w:cs="Times New Roman"/>
        </w:rPr>
        <w:t>”  Congress could add thereafter:</w:t>
      </w:r>
    </w:p>
    <w:p w14:paraId="3A8FF5B5" w14:textId="024BDB2B" w:rsidR="006D6B7B" w:rsidRPr="009259AB" w:rsidRDefault="006034C9" w:rsidP="00752E8B">
      <w:pPr>
        <w:ind w:left="720"/>
        <w:rPr>
          <w:rFonts w:ascii="Times New Roman" w:hAnsi="Times New Roman" w:cs="Times New Roman"/>
        </w:rPr>
      </w:pPr>
      <w:r w:rsidRPr="009259AB">
        <w:rPr>
          <w:rFonts w:ascii="Times New Roman" w:hAnsi="Times New Roman" w:cs="Times New Roman"/>
        </w:rPr>
        <w:t>Each agency shall, on a continuing basis, invite interested persons to submit, by electronic means, suggestions for rules that warrant retrospective review and possible modification or repeal.</w:t>
      </w:r>
    </w:p>
    <w:p w14:paraId="261D31A1" w14:textId="77777777" w:rsidR="00752E8B" w:rsidRPr="009259AB" w:rsidRDefault="00752E8B" w:rsidP="006D6B7B">
      <w:pPr>
        <w:rPr>
          <w:rFonts w:ascii="Times New Roman" w:hAnsi="Times New Roman" w:cs="Times New Roman"/>
        </w:rPr>
      </w:pPr>
    </w:p>
    <w:p w14:paraId="6B879764" w14:textId="05B92EEC" w:rsidR="006D6B7B" w:rsidRPr="009259AB" w:rsidRDefault="006D6B7B" w:rsidP="006D6B7B">
      <w:pPr>
        <w:rPr>
          <w:rFonts w:ascii="Times New Roman" w:hAnsi="Times New Roman" w:cs="Times New Roman"/>
          <w:b/>
        </w:rPr>
      </w:pPr>
      <w:r w:rsidRPr="009259AB">
        <w:rPr>
          <w:rFonts w:ascii="Times New Roman" w:hAnsi="Times New Roman" w:cs="Times New Roman"/>
          <w:b/>
        </w:rPr>
        <w:t>VII.</w:t>
      </w:r>
      <w:r w:rsidR="00DB0F49" w:rsidRPr="009259AB">
        <w:rPr>
          <w:rFonts w:ascii="Times New Roman" w:hAnsi="Times New Roman" w:cs="Times New Roman"/>
          <w:b/>
        </w:rPr>
        <w:tab/>
      </w:r>
      <w:r w:rsidRPr="009259AB">
        <w:rPr>
          <w:rFonts w:ascii="Times New Roman" w:hAnsi="Times New Roman" w:cs="Times New Roman"/>
          <w:b/>
        </w:rPr>
        <w:t xml:space="preserve">Codify </w:t>
      </w:r>
      <w:r w:rsidR="000875A2" w:rsidRPr="009259AB">
        <w:rPr>
          <w:rFonts w:ascii="Times New Roman" w:hAnsi="Times New Roman" w:cs="Times New Roman"/>
          <w:b/>
        </w:rPr>
        <w:t xml:space="preserve">and </w:t>
      </w:r>
      <w:r w:rsidR="00DB0F49" w:rsidRPr="009259AB">
        <w:rPr>
          <w:rFonts w:ascii="Times New Roman" w:hAnsi="Times New Roman" w:cs="Times New Roman"/>
          <w:b/>
        </w:rPr>
        <w:t>e</w:t>
      </w:r>
      <w:r w:rsidR="000875A2" w:rsidRPr="009259AB">
        <w:rPr>
          <w:rFonts w:ascii="Times New Roman" w:hAnsi="Times New Roman" w:cs="Times New Roman"/>
          <w:b/>
        </w:rPr>
        <w:t xml:space="preserve">nhance the </w:t>
      </w:r>
      <w:r w:rsidR="002B270F">
        <w:rPr>
          <w:rFonts w:ascii="Times New Roman" w:hAnsi="Times New Roman" w:cs="Times New Roman"/>
          <w:b/>
        </w:rPr>
        <w:t>U</w:t>
      </w:r>
      <w:r w:rsidRPr="009259AB">
        <w:rPr>
          <w:rFonts w:ascii="Times New Roman" w:hAnsi="Times New Roman" w:cs="Times New Roman"/>
          <w:b/>
        </w:rPr>
        <w:t xml:space="preserve">nified </w:t>
      </w:r>
      <w:r w:rsidR="002B270F">
        <w:rPr>
          <w:rFonts w:ascii="Times New Roman" w:hAnsi="Times New Roman" w:cs="Times New Roman"/>
          <w:b/>
        </w:rPr>
        <w:t>R</w:t>
      </w:r>
      <w:r w:rsidRPr="009259AB">
        <w:rPr>
          <w:rFonts w:ascii="Times New Roman" w:hAnsi="Times New Roman" w:cs="Times New Roman"/>
          <w:b/>
        </w:rPr>
        <w:t xml:space="preserve">egulatory </w:t>
      </w:r>
      <w:r w:rsidR="002B270F">
        <w:rPr>
          <w:rFonts w:ascii="Times New Roman" w:hAnsi="Times New Roman" w:cs="Times New Roman"/>
          <w:b/>
        </w:rPr>
        <w:t>A</w:t>
      </w:r>
      <w:r w:rsidRPr="009259AB">
        <w:rPr>
          <w:rFonts w:ascii="Times New Roman" w:hAnsi="Times New Roman" w:cs="Times New Roman"/>
          <w:b/>
        </w:rPr>
        <w:t>genda</w:t>
      </w:r>
    </w:p>
    <w:p w14:paraId="028B4FD8" w14:textId="77777777" w:rsidR="006D6B7B" w:rsidRPr="009259AB" w:rsidRDefault="006D6B7B" w:rsidP="006D6B7B">
      <w:pPr>
        <w:rPr>
          <w:rFonts w:ascii="Times New Roman" w:hAnsi="Times New Roman" w:cs="Times New Roman"/>
        </w:rPr>
      </w:pPr>
    </w:p>
    <w:p w14:paraId="5778C286" w14:textId="4D702F53" w:rsidR="000875A2" w:rsidRPr="009259AB" w:rsidRDefault="006226B1" w:rsidP="006D6B7B">
      <w:pPr>
        <w:rPr>
          <w:rFonts w:ascii="Times New Roman" w:hAnsi="Times New Roman" w:cs="Times New Roman"/>
        </w:rPr>
      </w:pPr>
      <w:r w:rsidRPr="009259AB">
        <w:rPr>
          <w:rFonts w:ascii="Times New Roman" w:hAnsi="Times New Roman" w:cs="Times New Roman"/>
        </w:rPr>
        <w:tab/>
        <w:t>The Unified</w:t>
      </w:r>
      <w:r w:rsidR="008D7E14" w:rsidRPr="009259AB">
        <w:rPr>
          <w:rFonts w:ascii="Times New Roman" w:hAnsi="Times New Roman" w:cs="Times New Roman"/>
        </w:rPr>
        <w:t xml:space="preserve"> Regulatory</w:t>
      </w:r>
      <w:r w:rsidRPr="009259AB">
        <w:rPr>
          <w:rFonts w:ascii="Times New Roman" w:hAnsi="Times New Roman" w:cs="Times New Roman"/>
        </w:rPr>
        <w:t xml:space="preserve"> Agenda is an important mechanism for agencies to apprise the public of their upcoming rulemaking activity.</w:t>
      </w:r>
      <w:r w:rsidR="008D7E14" w:rsidRPr="009259AB">
        <w:rPr>
          <w:rFonts w:ascii="Times New Roman" w:hAnsi="Times New Roman" w:cs="Times New Roman"/>
        </w:rPr>
        <w:t xml:space="preserve">  </w:t>
      </w:r>
      <w:r w:rsidR="000875A2" w:rsidRPr="009259AB">
        <w:rPr>
          <w:rFonts w:ascii="Times New Roman" w:hAnsi="Times New Roman" w:cs="Times New Roman"/>
        </w:rPr>
        <w:t xml:space="preserve">Unified Agenda requirements are currently provided by </w:t>
      </w:r>
      <w:r w:rsidR="008A2FC3" w:rsidRPr="009259AB">
        <w:rPr>
          <w:rFonts w:ascii="Times New Roman" w:hAnsi="Times New Roman" w:cs="Times New Roman"/>
        </w:rPr>
        <w:t xml:space="preserve">Section 4 of </w:t>
      </w:r>
      <w:r w:rsidR="00BE54AF" w:rsidRPr="009259AB">
        <w:rPr>
          <w:rFonts w:ascii="Times New Roman" w:hAnsi="Times New Roman" w:cs="Times New Roman"/>
        </w:rPr>
        <w:t>E</w:t>
      </w:r>
      <w:r w:rsidR="000875A2" w:rsidRPr="009259AB">
        <w:rPr>
          <w:rFonts w:ascii="Times New Roman" w:hAnsi="Times New Roman" w:cs="Times New Roman"/>
        </w:rPr>
        <w:t xml:space="preserve">xecutive </w:t>
      </w:r>
      <w:r w:rsidR="00BE54AF" w:rsidRPr="009259AB">
        <w:rPr>
          <w:rFonts w:ascii="Times New Roman" w:hAnsi="Times New Roman" w:cs="Times New Roman"/>
        </w:rPr>
        <w:t>O</w:t>
      </w:r>
      <w:r w:rsidR="000875A2" w:rsidRPr="009259AB">
        <w:rPr>
          <w:rFonts w:ascii="Times New Roman" w:hAnsi="Times New Roman" w:cs="Times New Roman"/>
        </w:rPr>
        <w:t>rder</w:t>
      </w:r>
      <w:r w:rsidR="00BE54AF" w:rsidRPr="009259AB">
        <w:rPr>
          <w:rFonts w:ascii="Times New Roman" w:hAnsi="Times New Roman" w:cs="Times New Roman"/>
        </w:rPr>
        <w:t xml:space="preserve"> 12866</w:t>
      </w:r>
      <w:r w:rsidR="00DE11F4" w:rsidRPr="009259AB">
        <w:rPr>
          <w:rFonts w:ascii="Times New Roman" w:hAnsi="Times New Roman" w:cs="Times New Roman"/>
        </w:rPr>
        <w:t>,</w:t>
      </w:r>
      <w:r w:rsidR="008A2FC3" w:rsidRPr="009259AB">
        <w:rPr>
          <w:rStyle w:val="FootnoteReference"/>
          <w:rFonts w:ascii="Times New Roman" w:hAnsi="Times New Roman"/>
        </w:rPr>
        <w:footnoteReference w:id="24"/>
      </w:r>
      <w:r w:rsidR="00DE11F4" w:rsidRPr="009259AB">
        <w:rPr>
          <w:rFonts w:ascii="Times New Roman" w:hAnsi="Times New Roman" w:cs="Times New Roman"/>
        </w:rPr>
        <w:t xml:space="preserve"> and the Unified Agenda is available on OIRA’s website</w:t>
      </w:r>
      <w:r w:rsidR="000875A2" w:rsidRPr="009259AB">
        <w:rPr>
          <w:rFonts w:ascii="Times New Roman" w:hAnsi="Times New Roman" w:cs="Times New Roman"/>
        </w:rPr>
        <w:t xml:space="preserve">.  </w:t>
      </w:r>
      <w:r w:rsidR="00BE54AF" w:rsidRPr="009259AB">
        <w:rPr>
          <w:rFonts w:ascii="Times New Roman" w:hAnsi="Times New Roman" w:cs="Times New Roman"/>
        </w:rPr>
        <w:t xml:space="preserve">However, the executive order only requires the agenda to be updated semi-annually.  Some agencies now </w:t>
      </w:r>
      <w:r w:rsidR="00DE11F4" w:rsidRPr="009259AB">
        <w:rPr>
          <w:rFonts w:ascii="Times New Roman" w:hAnsi="Times New Roman" w:cs="Times New Roman"/>
        </w:rPr>
        <w:t>maintain websites that pr</w:t>
      </w:r>
      <w:r w:rsidR="00BE54AF" w:rsidRPr="009259AB">
        <w:rPr>
          <w:rFonts w:ascii="Times New Roman" w:hAnsi="Times New Roman" w:cs="Times New Roman"/>
        </w:rPr>
        <w:t xml:space="preserve">ovide </w:t>
      </w:r>
      <w:r w:rsidR="00DE11F4" w:rsidRPr="009259AB">
        <w:rPr>
          <w:rFonts w:ascii="Times New Roman" w:hAnsi="Times New Roman" w:cs="Times New Roman"/>
        </w:rPr>
        <w:t xml:space="preserve">more current data on </w:t>
      </w:r>
      <w:r w:rsidR="00BE54AF" w:rsidRPr="009259AB">
        <w:rPr>
          <w:rFonts w:ascii="Times New Roman" w:hAnsi="Times New Roman" w:cs="Times New Roman"/>
        </w:rPr>
        <w:t>important rulemakings</w:t>
      </w:r>
      <w:r w:rsidR="00DE11F4" w:rsidRPr="009259AB">
        <w:rPr>
          <w:rFonts w:ascii="Times New Roman" w:hAnsi="Times New Roman" w:cs="Times New Roman"/>
        </w:rPr>
        <w:t xml:space="preserve">.  </w:t>
      </w:r>
      <w:r w:rsidR="000875A2" w:rsidRPr="009259AB">
        <w:rPr>
          <w:rFonts w:ascii="Times New Roman" w:hAnsi="Times New Roman" w:cs="Times New Roman"/>
        </w:rPr>
        <w:t>We recommend codifying the</w:t>
      </w:r>
      <w:r w:rsidR="00DE11F4" w:rsidRPr="009259AB">
        <w:rPr>
          <w:rFonts w:ascii="Times New Roman" w:hAnsi="Times New Roman" w:cs="Times New Roman"/>
        </w:rPr>
        <w:t xml:space="preserve"> executive order’</w:t>
      </w:r>
      <w:r w:rsidR="000875A2" w:rsidRPr="009259AB">
        <w:rPr>
          <w:rFonts w:ascii="Times New Roman" w:hAnsi="Times New Roman" w:cs="Times New Roman"/>
        </w:rPr>
        <w:t xml:space="preserve">s requirements so they clearly apply to all agencies.  Codification should also include </w:t>
      </w:r>
      <w:r w:rsidR="00712D13" w:rsidRPr="009259AB">
        <w:rPr>
          <w:rFonts w:ascii="Times New Roman" w:hAnsi="Times New Roman" w:cs="Times New Roman"/>
        </w:rPr>
        <w:t xml:space="preserve">a variety of </w:t>
      </w:r>
      <w:r w:rsidR="000875A2" w:rsidRPr="009259AB">
        <w:rPr>
          <w:rFonts w:ascii="Times New Roman" w:hAnsi="Times New Roman" w:cs="Times New Roman"/>
        </w:rPr>
        <w:t>enhancements to the Agenda</w:t>
      </w:r>
      <w:r w:rsidR="00712D13" w:rsidRPr="009259AB">
        <w:rPr>
          <w:rFonts w:ascii="Times New Roman" w:hAnsi="Times New Roman" w:cs="Times New Roman"/>
        </w:rPr>
        <w:t xml:space="preserve"> contained in </w:t>
      </w:r>
      <w:r w:rsidR="00EC3CEA" w:rsidRPr="009259AB">
        <w:rPr>
          <w:rFonts w:ascii="Times New Roman" w:hAnsi="Times New Roman" w:cs="Times New Roman"/>
        </w:rPr>
        <w:t>a recent ACUS recommendation on the topic</w:t>
      </w:r>
      <w:r w:rsidR="00712D13" w:rsidRPr="009259AB">
        <w:rPr>
          <w:rFonts w:ascii="Times New Roman" w:hAnsi="Times New Roman" w:cs="Times New Roman"/>
        </w:rPr>
        <w:t>.</w:t>
      </w:r>
      <w:r w:rsidR="00EC3CEA" w:rsidRPr="009259AB">
        <w:rPr>
          <w:rStyle w:val="FootnoteReference"/>
          <w:rFonts w:ascii="Times New Roman" w:hAnsi="Times New Roman"/>
        </w:rPr>
        <w:footnoteReference w:id="25"/>
      </w:r>
      <w:r w:rsidR="00712D13" w:rsidRPr="009259AB">
        <w:rPr>
          <w:rFonts w:ascii="Times New Roman" w:hAnsi="Times New Roman" w:cs="Times New Roman"/>
        </w:rPr>
        <w:t xml:space="preserve">  The ABA recognizes that compliance with these requirements in the dynamic rulemaking process may not be perfect, and we do not </w:t>
      </w:r>
      <w:r w:rsidR="00435ACD">
        <w:rPr>
          <w:rFonts w:ascii="Times New Roman" w:hAnsi="Times New Roman" w:cs="Times New Roman"/>
        </w:rPr>
        <w:t>address</w:t>
      </w:r>
      <w:r w:rsidR="00712D13" w:rsidRPr="009259AB">
        <w:rPr>
          <w:rFonts w:ascii="Times New Roman" w:hAnsi="Times New Roman" w:cs="Times New Roman"/>
        </w:rPr>
        <w:t xml:space="preserve"> conditioning issuance of a rule on compliance with Agenda requirements.  But the provisions we recommend will help move the Agenda more fully into the Information Age and enable it to fulfill its potential as a vital and useful source of public information about the status of agency rulemaking.</w:t>
      </w:r>
      <w:r w:rsidR="00415064" w:rsidRPr="00415064">
        <w:rPr>
          <w:rFonts w:ascii="Times New Roman" w:hAnsi="Times New Roman" w:cs="Times New Roman"/>
        </w:rPr>
        <w:t xml:space="preserve"> </w:t>
      </w:r>
      <w:r w:rsidR="00415064">
        <w:rPr>
          <w:rFonts w:ascii="Times New Roman" w:hAnsi="Times New Roman" w:cs="Times New Roman"/>
        </w:rPr>
        <w:t>We also realize that not all agencies may be able to implement these requirements immediately due to resource constraints or other reasons.  Agencies could be given some period of time to comply, and should be given adequate resources to do so.</w:t>
      </w:r>
    </w:p>
    <w:p w14:paraId="47C33AF4" w14:textId="77777777" w:rsidR="008A2FC3" w:rsidRPr="009259AB" w:rsidRDefault="008A2FC3" w:rsidP="006D6B7B">
      <w:pPr>
        <w:rPr>
          <w:rFonts w:ascii="Times New Roman" w:hAnsi="Times New Roman" w:cs="Times New Roman"/>
        </w:rPr>
      </w:pPr>
    </w:p>
    <w:p w14:paraId="27B98B3E" w14:textId="2ECB3DE6" w:rsidR="008A2FC3" w:rsidRPr="009259AB" w:rsidRDefault="008A2FC3" w:rsidP="00E43158">
      <w:pPr>
        <w:widowControl w:val="0"/>
        <w:autoSpaceDE w:val="0"/>
        <w:autoSpaceDN w:val="0"/>
        <w:adjustRightInd w:val="0"/>
        <w:rPr>
          <w:rFonts w:ascii="Times New Roman" w:hAnsi="Times New Roman" w:cs="Times New Roman"/>
        </w:rPr>
      </w:pPr>
      <w:r w:rsidRPr="009259AB">
        <w:rPr>
          <w:rFonts w:ascii="Times New Roman" w:hAnsi="Times New Roman" w:cs="Times New Roman"/>
        </w:rPr>
        <w:tab/>
      </w:r>
      <w:r w:rsidR="001E2B1A" w:rsidRPr="009259AB">
        <w:rPr>
          <w:rFonts w:ascii="Times New Roman" w:hAnsi="Times New Roman" w:cs="Times New Roman"/>
        </w:rPr>
        <w:t>Section 4 of EO 12866 also requires agencies to issue an annual regulatory plan that describes, among other things, the agency</w:t>
      </w:r>
      <w:r w:rsidR="001E2B1A" w:rsidRPr="009259AB">
        <w:rPr>
          <w:rFonts w:ascii="Times New Roman" w:hAnsi="Times New Roman" w:cs="Times New Roman"/>
          <w:b/>
          <w:bCs/>
        </w:rPr>
        <w:t>’</w:t>
      </w:r>
      <w:r w:rsidR="001E2B1A" w:rsidRPr="009259AB">
        <w:rPr>
          <w:rFonts w:ascii="Times New Roman" w:hAnsi="Times New Roman" w:cs="Times New Roman"/>
        </w:rPr>
        <w:t>s regulatory objectives and priorities and how they relate to the President</w:t>
      </w:r>
      <w:r w:rsidR="001E2B1A" w:rsidRPr="009259AB">
        <w:rPr>
          <w:rFonts w:ascii="Times New Roman" w:hAnsi="Times New Roman" w:cs="Times New Roman"/>
          <w:b/>
          <w:bCs/>
        </w:rPr>
        <w:t>’</w:t>
      </w:r>
      <w:r w:rsidR="001E2B1A" w:rsidRPr="009259AB">
        <w:rPr>
          <w:rFonts w:ascii="Times New Roman" w:hAnsi="Times New Roman" w:cs="Times New Roman"/>
        </w:rPr>
        <w:t xml:space="preserve">s priorities.  In recent years, some independent regulatory agencies have stopped submitting such plans.  The regulatory activities of such agencies can have major </w:t>
      </w:r>
      <w:r w:rsidR="00582E98" w:rsidRPr="009259AB">
        <w:rPr>
          <w:rFonts w:ascii="Times New Roman" w:hAnsi="Times New Roman" w:cs="Times New Roman"/>
        </w:rPr>
        <w:t xml:space="preserve">public </w:t>
      </w:r>
      <w:r w:rsidR="001E2B1A" w:rsidRPr="009259AB">
        <w:rPr>
          <w:rFonts w:ascii="Times New Roman" w:hAnsi="Times New Roman" w:cs="Times New Roman"/>
        </w:rPr>
        <w:t>consequences, and the public deserves to know what such agencies are planning in that regard.  They should therefore resume participation in the planning process.</w:t>
      </w:r>
    </w:p>
    <w:p w14:paraId="3A46355E" w14:textId="77777777" w:rsidR="00712D13" w:rsidRPr="009259AB" w:rsidRDefault="00712D13" w:rsidP="006D6B7B">
      <w:pPr>
        <w:rPr>
          <w:rFonts w:ascii="Times New Roman" w:hAnsi="Times New Roman" w:cs="Times New Roman"/>
        </w:rPr>
      </w:pPr>
    </w:p>
    <w:p w14:paraId="168D9660" w14:textId="14F610C4" w:rsidR="00712D13" w:rsidRPr="009259AB" w:rsidRDefault="00712D13" w:rsidP="006D6B7B">
      <w:pPr>
        <w:rPr>
          <w:rFonts w:ascii="Times New Roman" w:hAnsi="Times New Roman" w:cs="Times New Roman"/>
        </w:rPr>
      </w:pPr>
      <w:r w:rsidRPr="009259AB">
        <w:rPr>
          <w:rFonts w:ascii="Times New Roman" w:hAnsi="Times New Roman" w:cs="Times New Roman"/>
        </w:rPr>
        <w:tab/>
        <w:t>Accordingly, the ABA recommends that:</w:t>
      </w:r>
    </w:p>
    <w:p w14:paraId="6D22003A" w14:textId="77777777" w:rsidR="000875A2" w:rsidRPr="009259AB" w:rsidRDefault="000875A2" w:rsidP="006D6B7B">
      <w:pPr>
        <w:rPr>
          <w:rFonts w:ascii="Times New Roman" w:hAnsi="Times New Roman" w:cs="Times New Roman"/>
        </w:rPr>
      </w:pPr>
    </w:p>
    <w:p w14:paraId="53580601" w14:textId="4F5E7908" w:rsidR="008B22E5" w:rsidRPr="009259AB" w:rsidRDefault="00DE11F4" w:rsidP="000875A2">
      <w:pPr>
        <w:pStyle w:val="ListParagraph"/>
        <w:numPr>
          <w:ilvl w:val="0"/>
          <w:numId w:val="6"/>
        </w:numPr>
        <w:rPr>
          <w:rFonts w:ascii="Times New Roman" w:hAnsi="Times New Roman" w:cs="Times New Roman"/>
        </w:rPr>
      </w:pPr>
      <w:r w:rsidRPr="009259AB">
        <w:rPr>
          <w:rFonts w:ascii="Times New Roman" w:hAnsi="Times New Roman" w:cs="Times New Roman"/>
        </w:rPr>
        <w:t xml:space="preserve">Each agency should maintain a website that contains its regulatory agenda.  </w:t>
      </w:r>
      <w:r w:rsidR="000875A2" w:rsidRPr="009259AB">
        <w:rPr>
          <w:rFonts w:ascii="Times New Roman" w:hAnsi="Times New Roman" w:cs="Times New Roman"/>
        </w:rPr>
        <w:t>Th</w:t>
      </w:r>
      <w:r w:rsidRPr="009259AB">
        <w:rPr>
          <w:rFonts w:ascii="Times New Roman" w:hAnsi="Times New Roman" w:cs="Times New Roman"/>
        </w:rPr>
        <w:t>es</w:t>
      </w:r>
      <w:r w:rsidR="000875A2" w:rsidRPr="009259AB">
        <w:rPr>
          <w:rFonts w:ascii="Times New Roman" w:hAnsi="Times New Roman" w:cs="Times New Roman"/>
        </w:rPr>
        <w:t xml:space="preserve">e </w:t>
      </w:r>
      <w:r w:rsidRPr="009259AB">
        <w:rPr>
          <w:rFonts w:ascii="Times New Roman" w:hAnsi="Times New Roman" w:cs="Times New Roman"/>
        </w:rPr>
        <w:t>agency a</w:t>
      </w:r>
      <w:r w:rsidR="000875A2" w:rsidRPr="009259AB">
        <w:rPr>
          <w:rFonts w:ascii="Times New Roman" w:hAnsi="Times New Roman" w:cs="Times New Roman"/>
        </w:rPr>
        <w:t>genda</w:t>
      </w:r>
      <w:r w:rsidRPr="009259AB">
        <w:rPr>
          <w:rFonts w:ascii="Times New Roman" w:hAnsi="Times New Roman" w:cs="Times New Roman"/>
        </w:rPr>
        <w:t>s</w:t>
      </w:r>
      <w:r w:rsidR="000875A2" w:rsidRPr="009259AB">
        <w:rPr>
          <w:rFonts w:ascii="Times New Roman" w:hAnsi="Times New Roman" w:cs="Times New Roman"/>
        </w:rPr>
        <w:t xml:space="preserve"> should be updated in real time to reflect </w:t>
      </w:r>
      <w:r w:rsidRPr="009259AB">
        <w:rPr>
          <w:rFonts w:ascii="Times New Roman" w:hAnsi="Times New Roman" w:cs="Times New Roman"/>
        </w:rPr>
        <w:t>con</w:t>
      </w:r>
      <w:r w:rsidR="000875A2" w:rsidRPr="009259AB">
        <w:rPr>
          <w:rFonts w:ascii="Times New Roman" w:hAnsi="Times New Roman" w:cs="Times New Roman"/>
        </w:rPr>
        <w:t xml:space="preserve">crete actions taken with respect to rules such as </w:t>
      </w:r>
      <w:r w:rsidR="00EC3CEA" w:rsidRPr="009259AB">
        <w:rPr>
          <w:rFonts w:ascii="Times New Roman" w:hAnsi="Times New Roman" w:cs="Times New Roman"/>
        </w:rPr>
        <w:t xml:space="preserve">initiation, </w:t>
      </w:r>
      <w:r w:rsidR="000875A2" w:rsidRPr="009259AB">
        <w:rPr>
          <w:rFonts w:ascii="Times New Roman" w:hAnsi="Times New Roman" w:cs="Times New Roman"/>
        </w:rPr>
        <w:t>issuance or withdrawal of a rule</w:t>
      </w:r>
      <w:r w:rsidRPr="009259AB">
        <w:rPr>
          <w:rFonts w:ascii="Times New Roman" w:hAnsi="Times New Roman" w:cs="Times New Roman"/>
        </w:rPr>
        <w:t xml:space="preserve"> or change of </w:t>
      </w:r>
      <w:r w:rsidR="00EC3CEA" w:rsidRPr="009259AB">
        <w:rPr>
          <w:rFonts w:ascii="Times New Roman" w:hAnsi="Times New Roman" w:cs="Times New Roman"/>
        </w:rPr>
        <w:t>contact person</w:t>
      </w:r>
      <w:r w:rsidR="000875A2" w:rsidRPr="009259AB">
        <w:rPr>
          <w:rFonts w:ascii="Times New Roman" w:hAnsi="Times New Roman" w:cs="Times New Roman"/>
        </w:rPr>
        <w:t>.  Such real-time updates would make the Agenda more useful to the public</w:t>
      </w:r>
      <w:r w:rsidR="00EC3CEA" w:rsidRPr="009259AB">
        <w:rPr>
          <w:rFonts w:ascii="Times New Roman" w:hAnsi="Times New Roman" w:cs="Times New Roman"/>
        </w:rPr>
        <w:t xml:space="preserve">, but would </w:t>
      </w:r>
      <w:r w:rsidR="003B1BC0" w:rsidRPr="009259AB">
        <w:rPr>
          <w:rFonts w:ascii="Times New Roman" w:hAnsi="Times New Roman" w:cs="Times New Roman"/>
        </w:rPr>
        <w:t xml:space="preserve">be ministerial in nature and would </w:t>
      </w:r>
      <w:r w:rsidR="00EC3CEA" w:rsidRPr="009259AB">
        <w:rPr>
          <w:rFonts w:ascii="Times New Roman" w:hAnsi="Times New Roman" w:cs="Times New Roman"/>
        </w:rPr>
        <w:t xml:space="preserve">not </w:t>
      </w:r>
      <w:r w:rsidR="000875A2" w:rsidRPr="009259AB">
        <w:rPr>
          <w:rFonts w:ascii="Times New Roman" w:hAnsi="Times New Roman" w:cs="Times New Roman"/>
        </w:rPr>
        <w:t>requir</w:t>
      </w:r>
      <w:r w:rsidR="00EC3CEA" w:rsidRPr="009259AB">
        <w:rPr>
          <w:rFonts w:ascii="Times New Roman" w:hAnsi="Times New Roman" w:cs="Times New Roman"/>
        </w:rPr>
        <w:t>e</w:t>
      </w:r>
      <w:r w:rsidR="000875A2" w:rsidRPr="009259AB">
        <w:rPr>
          <w:rFonts w:ascii="Times New Roman" w:hAnsi="Times New Roman" w:cs="Times New Roman"/>
        </w:rPr>
        <w:t xml:space="preserve"> agencies to continually reassess their priorities.</w:t>
      </w:r>
    </w:p>
    <w:p w14:paraId="13B95F04" w14:textId="21510E35" w:rsidR="00EC3CEA" w:rsidRPr="009259AB" w:rsidRDefault="00EC3CEA" w:rsidP="000875A2">
      <w:pPr>
        <w:pStyle w:val="ListParagraph"/>
        <w:numPr>
          <w:ilvl w:val="0"/>
          <w:numId w:val="6"/>
        </w:numPr>
        <w:rPr>
          <w:rFonts w:ascii="Times New Roman" w:hAnsi="Times New Roman" w:cs="Times New Roman"/>
        </w:rPr>
      </w:pPr>
      <w:r w:rsidRPr="009259AB">
        <w:rPr>
          <w:rFonts w:ascii="Times New Roman" w:hAnsi="Times New Roman" w:cs="Times New Roman"/>
        </w:rPr>
        <w:t>The Unified Agenda website should link to agency agenda webpages.</w:t>
      </w:r>
    </w:p>
    <w:p w14:paraId="41849A06" w14:textId="35AD0AC5" w:rsidR="000875A2" w:rsidRPr="009259AB" w:rsidRDefault="000875A2" w:rsidP="000875A2">
      <w:pPr>
        <w:pStyle w:val="ListParagraph"/>
        <w:numPr>
          <w:ilvl w:val="0"/>
          <w:numId w:val="6"/>
        </w:numPr>
        <w:rPr>
          <w:rFonts w:ascii="Times New Roman" w:hAnsi="Times New Roman" w:cs="Times New Roman"/>
        </w:rPr>
      </w:pPr>
      <w:r w:rsidRPr="009259AB">
        <w:rPr>
          <w:rFonts w:ascii="Times New Roman" w:hAnsi="Times New Roman" w:cs="Times New Roman"/>
        </w:rPr>
        <w:t>Agencies should be required to explain how all rules were resolved rather than removing rules without explanation.</w:t>
      </w:r>
    </w:p>
    <w:p w14:paraId="4A830706" w14:textId="604DE838" w:rsidR="000875A2" w:rsidRPr="009259AB" w:rsidRDefault="000875A2" w:rsidP="000875A2">
      <w:pPr>
        <w:pStyle w:val="ListParagraph"/>
        <w:numPr>
          <w:ilvl w:val="0"/>
          <w:numId w:val="6"/>
        </w:numPr>
        <w:rPr>
          <w:rFonts w:ascii="Times New Roman" w:hAnsi="Times New Roman" w:cs="Times New Roman"/>
        </w:rPr>
      </w:pPr>
      <w:r w:rsidRPr="009259AB">
        <w:rPr>
          <w:rFonts w:ascii="Times New Roman" w:hAnsi="Times New Roman" w:cs="Times New Roman"/>
        </w:rPr>
        <w:t xml:space="preserve">All </w:t>
      </w:r>
      <w:r w:rsidR="00EC3CEA" w:rsidRPr="009259AB">
        <w:rPr>
          <w:rFonts w:ascii="Times New Roman" w:hAnsi="Times New Roman" w:cs="Times New Roman"/>
        </w:rPr>
        <w:t xml:space="preserve">active rulemakings </w:t>
      </w:r>
      <w:r w:rsidRPr="009259AB">
        <w:rPr>
          <w:rFonts w:ascii="Times New Roman" w:hAnsi="Times New Roman" w:cs="Times New Roman"/>
        </w:rPr>
        <w:t>shou</w:t>
      </w:r>
      <w:r w:rsidR="008F3421" w:rsidRPr="009259AB">
        <w:rPr>
          <w:rFonts w:ascii="Times New Roman" w:hAnsi="Times New Roman" w:cs="Times New Roman"/>
        </w:rPr>
        <w:t xml:space="preserve">ld be </w:t>
      </w:r>
      <w:r w:rsidR="00EC3CEA" w:rsidRPr="009259AB">
        <w:rPr>
          <w:rFonts w:ascii="Times New Roman" w:hAnsi="Times New Roman" w:cs="Times New Roman"/>
        </w:rPr>
        <w:t xml:space="preserve">reflected in an entry </w:t>
      </w:r>
      <w:r w:rsidR="008F3421" w:rsidRPr="009259AB">
        <w:rPr>
          <w:rFonts w:ascii="Times New Roman" w:hAnsi="Times New Roman" w:cs="Times New Roman"/>
        </w:rPr>
        <w:t>in the public Agenda.</w:t>
      </w:r>
    </w:p>
    <w:p w14:paraId="46958189" w14:textId="199537ED" w:rsidR="008F3421" w:rsidRPr="009259AB" w:rsidRDefault="008F3421" w:rsidP="000875A2">
      <w:pPr>
        <w:pStyle w:val="ListParagraph"/>
        <w:numPr>
          <w:ilvl w:val="0"/>
          <w:numId w:val="6"/>
        </w:numPr>
        <w:rPr>
          <w:rFonts w:ascii="Times New Roman" w:hAnsi="Times New Roman" w:cs="Times New Roman"/>
        </w:rPr>
      </w:pPr>
      <w:r w:rsidRPr="009259AB">
        <w:rPr>
          <w:rFonts w:ascii="Times New Roman" w:hAnsi="Times New Roman" w:cs="Times New Roman"/>
        </w:rPr>
        <w:t>Agencies should be required to make reasonable efforts to accurately classify all Agenda items</w:t>
      </w:r>
      <w:r w:rsidR="00EC3CEA" w:rsidRPr="009259AB">
        <w:rPr>
          <w:rFonts w:ascii="Times New Roman" w:hAnsi="Times New Roman" w:cs="Times New Roman"/>
        </w:rPr>
        <w:t xml:space="preserve"> – that is, rules should not be classified as “long-term actions” when the agency contemplates issuing a proposed or final rule within the next </w:t>
      </w:r>
      <w:r w:rsidR="00712D13" w:rsidRPr="009259AB">
        <w:rPr>
          <w:rFonts w:ascii="Times New Roman" w:hAnsi="Times New Roman" w:cs="Times New Roman"/>
        </w:rPr>
        <w:t>year</w:t>
      </w:r>
      <w:r w:rsidRPr="009259AB">
        <w:rPr>
          <w:rFonts w:ascii="Times New Roman" w:hAnsi="Times New Roman" w:cs="Times New Roman"/>
        </w:rPr>
        <w:t>.</w:t>
      </w:r>
    </w:p>
    <w:p w14:paraId="0702F09A" w14:textId="2C49BE12" w:rsidR="008F3421" w:rsidRPr="009259AB" w:rsidRDefault="008F3421" w:rsidP="000875A2">
      <w:pPr>
        <w:pStyle w:val="ListParagraph"/>
        <w:numPr>
          <w:ilvl w:val="0"/>
          <w:numId w:val="6"/>
        </w:numPr>
        <w:rPr>
          <w:rFonts w:ascii="Times New Roman" w:hAnsi="Times New Roman" w:cs="Times New Roman"/>
        </w:rPr>
      </w:pPr>
      <w:r w:rsidRPr="009259AB">
        <w:rPr>
          <w:rFonts w:ascii="Times New Roman" w:hAnsi="Times New Roman" w:cs="Times New Roman"/>
        </w:rPr>
        <w:t xml:space="preserve">OIRA should be required to publish the </w:t>
      </w:r>
      <w:r w:rsidR="00EC3CEA" w:rsidRPr="009259AB">
        <w:rPr>
          <w:rFonts w:ascii="Times New Roman" w:hAnsi="Times New Roman" w:cs="Times New Roman"/>
        </w:rPr>
        <w:t>Regulatory Plan</w:t>
      </w:r>
      <w:r w:rsidRPr="009259AB">
        <w:rPr>
          <w:rFonts w:ascii="Times New Roman" w:hAnsi="Times New Roman" w:cs="Times New Roman"/>
        </w:rPr>
        <w:t xml:space="preserve"> on a</w:t>
      </w:r>
      <w:r w:rsidR="001E2B1A" w:rsidRPr="009259AB">
        <w:rPr>
          <w:rFonts w:ascii="Times New Roman" w:hAnsi="Times New Roman" w:cs="Times New Roman"/>
        </w:rPr>
        <w:t>n</w:t>
      </w:r>
      <w:r w:rsidRPr="009259AB">
        <w:rPr>
          <w:rFonts w:ascii="Times New Roman" w:hAnsi="Times New Roman" w:cs="Times New Roman"/>
        </w:rPr>
        <w:t xml:space="preserve"> annual basis.</w:t>
      </w:r>
      <w:r w:rsidR="003B1BC0" w:rsidRPr="009259AB">
        <w:rPr>
          <w:rFonts w:ascii="Times New Roman" w:hAnsi="Times New Roman" w:cs="Times New Roman"/>
        </w:rPr>
        <w:t xml:space="preserve">  Independent regulatory agencies should be required to </w:t>
      </w:r>
      <w:r w:rsidR="008A2FC3" w:rsidRPr="009259AB">
        <w:rPr>
          <w:rFonts w:ascii="Times New Roman" w:hAnsi="Times New Roman" w:cs="Times New Roman"/>
        </w:rPr>
        <w:t>participate in</w:t>
      </w:r>
      <w:r w:rsidR="003B1BC0" w:rsidRPr="009259AB">
        <w:rPr>
          <w:rFonts w:ascii="Times New Roman" w:hAnsi="Times New Roman" w:cs="Times New Roman"/>
        </w:rPr>
        <w:t xml:space="preserve"> the Plan.</w:t>
      </w:r>
    </w:p>
    <w:p w14:paraId="5A55193D" w14:textId="77777777" w:rsidR="00F56E48" w:rsidRPr="009259AB" w:rsidRDefault="00F56E48" w:rsidP="006D6B7B">
      <w:pPr>
        <w:rPr>
          <w:rFonts w:ascii="Times New Roman" w:hAnsi="Times New Roman" w:cs="Times New Roman"/>
        </w:rPr>
      </w:pPr>
    </w:p>
    <w:p w14:paraId="58CB7DBF" w14:textId="517D1564" w:rsidR="006D6B7B" w:rsidRPr="009259AB" w:rsidRDefault="00B724E1" w:rsidP="00761699">
      <w:pPr>
        <w:rPr>
          <w:rFonts w:ascii="Times New Roman" w:hAnsi="Times New Roman" w:cs="Times New Roman"/>
          <w:b/>
        </w:rPr>
      </w:pPr>
      <w:r w:rsidRPr="009259AB">
        <w:rPr>
          <w:rFonts w:ascii="Times New Roman" w:hAnsi="Times New Roman" w:cs="Times New Roman"/>
          <w:b/>
        </w:rPr>
        <w:t>VII</w:t>
      </w:r>
      <w:r w:rsidR="006D6B7B" w:rsidRPr="009259AB">
        <w:rPr>
          <w:rFonts w:ascii="Times New Roman" w:hAnsi="Times New Roman" w:cs="Times New Roman"/>
          <w:b/>
        </w:rPr>
        <w:t>I.</w:t>
      </w:r>
      <w:r w:rsidR="00DB0F49" w:rsidRPr="009259AB">
        <w:rPr>
          <w:rFonts w:ascii="Times New Roman" w:hAnsi="Times New Roman" w:cs="Times New Roman"/>
          <w:b/>
        </w:rPr>
        <w:tab/>
      </w:r>
      <w:r w:rsidR="00752E8B" w:rsidRPr="009259AB">
        <w:rPr>
          <w:rFonts w:ascii="Times New Roman" w:hAnsi="Times New Roman" w:cs="Times New Roman"/>
          <w:b/>
        </w:rPr>
        <w:t xml:space="preserve">Repeal </w:t>
      </w:r>
      <w:r w:rsidR="00CB4D69" w:rsidRPr="009259AB">
        <w:rPr>
          <w:rFonts w:ascii="Times New Roman" w:hAnsi="Times New Roman" w:cs="Times New Roman"/>
          <w:b/>
        </w:rPr>
        <w:t xml:space="preserve">and update </w:t>
      </w:r>
      <w:r w:rsidR="006F0F7E" w:rsidRPr="009259AB">
        <w:rPr>
          <w:rFonts w:ascii="Times New Roman" w:hAnsi="Times New Roman" w:cs="Times New Roman"/>
          <w:b/>
        </w:rPr>
        <w:t>outmoded</w:t>
      </w:r>
      <w:r w:rsidR="00752E8B" w:rsidRPr="009259AB">
        <w:rPr>
          <w:rFonts w:ascii="Times New Roman" w:hAnsi="Times New Roman" w:cs="Times New Roman"/>
          <w:b/>
        </w:rPr>
        <w:t xml:space="preserve"> exemptions</w:t>
      </w:r>
    </w:p>
    <w:p w14:paraId="4A2BEA9B" w14:textId="77777777" w:rsidR="006D6B7B" w:rsidRPr="009259AB" w:rsidRDefault="006D6B7B" w:rsidP="006D6B7B">
      <w:pPr>
        <w:rPr>
          <w:rFonts w:ascii="Times New Roman" w:hAnsi="Times New Roman" w:cs="Times New Roman"/>
        </w:rPr>
      </w:pPr>
    </w:p>
    <w:p w14:paraId="71B8A538" w14:textId="6CE2752D" w:rsidR="006226B1" w:rsidRPr="009259AB" w:rsidRDefault="002C3DC1" w:rsidP="006226B1">
      <w:pPr>
        <w:widowControl w:val="0"/>
        <w:autoSpaceDE w:val="0"/>
        <w:autoSpaceDN w:val="0"/>
        <w:adjustRightInd w:val="0"/>
        <w:spacing w:after="240"/>
        <w:ind w:firstLine="720"/>
        <w:rPr>
          <w:rFonts w:ascii="Times New Roman" w:hAnsi="Times New Roman" w:cs="Times New Roman"/>
        </w:rPr>
      </w:pPr>
      <w:r>
        <w:rPr>
          <w:rFonts w:ascii="Times New Roman" w:hAnsi="Times New Roman" w:cs="Times New Roman"/>
        </w:rPr>
        <w:t>W</w:t>
      </w:r>
      <w:r w:rsidR="00752E8B" w:rsidRPr="009259AB">
        <w:rPr>
          <w:rFonts w:ascii="Times New Roman" w:hAnsi="Times New Roman" w:cs="Times New Roman"/>
        </w:rPr>
        <w:t>e urge</w:t>
      </w:r>
      <w:r w:rsidR="006226B1" w:rsidRPr="009259AB">
        <w:rPr>
          <w:rFonts w:ascii="Times New Roman" w:hAnsi="Times New Roman" w:cs="Times New Roman"/>
        </w:rPr>
        <w:t xml:space="preserve"> r</w:t>
      </w:r>
      <w:r w:rsidR="0032682C" w:rsidRPr="009259AB">
        <w:rPr>
          <w:rFonts w:ascii="Times New Roman" w:hAnsi="Times New Roman" w:cs="Times New Roman"/>
        </w:rPr>
        <w:t>epeal</w:t>
      </w:r>
      <w:r w:rsidR="006226B1" w:rsidRPr="009259AB">
        <w:rPr>
          <w:rFonts w:ascii="Times New Roman" w:hAnsi="Times New Roman" w:cs="Times New Roman"/>
        </w:rPr>
        <w:t>ing</w:t>
      </w:r>
      <w:r w:rsidR="0032682C" w:rsidRPr="009259AB">
        <w:rPr>
          <w:rFonts w:ascii="Times New Roman" w:hAnsi="Times New Roman" w:cs="Times New Roman"/>
        </w:rPr>
        <w:t xml:space="preserve"> the broad and anachronistic exemption in § 553(a)(2) for “public </w:t>
      </w:r>
      <w:r w:rsidR="00D82884">
        <w:rPr>
          <w:rFonts w:ascii="Times New Roman" w:hAnsi="Times New Roman" w:cs="Times New Roman"/>
        </w:rPr>
        <w:t>. . .</w:t>
      </w:r>
      <w:r w:rsidR="0032682C" w:rsidRPr="009259AB">
        <w:rPr>
          <w:rFonts w:ascii="Times New Roman" w:hAnsi="Times New Roman" w:cs="Times New Roman"/>
        </w:rPr>
        <w:t xml:space="preserve"> loans, g</w:t>
      </w:r>
      <w:r w:rsidR="006226B1" w:rsidRPr="009259AB">
        <w:rPr>
          <w:rFonts w:ascii="Times New Roman" w:hAnsi="Times New Roman" w:cs="Times New Roman"/>
        </w:rPr>
        <w:t>rants</w:t>
      </w:r>
      <w:r w:rsidR="00D82884">
        <w:rPr>
          <w:rFonts w:ascii="Times New Roman" w:hAnsi="Times New Roman" w:cs="Times New Roman"/>
        </w:rPr>
        <w:t xml:space="preserve"> [and]</w:t>
      </w:r>
      <w:r w:rsidR="006226B1" w:rsidRPr="009259AB">
        <w:rPr>
          <w:rFonts w:ascii="Times New Roman" w:hAnsi="Times New Roman" w:cs="Times New Roman"/>
        </w:rPr>
        <w:t xml:space="preserve"> benefits.”  Significant public effects arising from the activities of federal agencies are sometimes shielded from public input by this exemption.  ACUS has repeatedly called for repeal of this exemption</w:t>
      </w:r>
      <w:r w:rsidR="00120D49">
        <w:rPr>
          <w:rFonts w:ascii="Times New Roman" w:hAnsi="Times New Roman" w:cs="Times New Roman"/>
        </w:rPr>
        <w:t>,</w:t>
      </w:r>
      <w:r w:rsidR="006226B1" w:rsidRPr="009259AB">
        <w:rPr>
          <w:rFonts w:ascii="Times New Roman" w:hAnsi="Times New Roman" w:cs="Times New Roman"/>
        </w:rPr>
        <w:t xml:space="preserve"> beginning in 1969</w:t>
      </w:r>
      <w:r w:rsidR="00120D49">
        <w:rPr>
          <w:rFonts w:ascii="Times New Roman" w:hAnsi="Times New Roman" w:cs="Times New Roman"/>
        </w:rPr>
        <w:t>,</w:t>
      </w:r>
      <w:r w:rsidR="006226B1" w:rsidRPr="009259AB">
        <w:rPr>
          <w:rStyle w:val="FootnoteReference"/>
          <w:rFonts w:ascii="Times New Roman" w:hAnsi="Times New Roman"/>
        </w:rPr>
        <w:footnoteReference w:id="26"/>
      </w:r>
      <w:r w:rsidR="006226B1" w:rsidRPr="009259AB">
        <w:rPr>
          <w:rFonts w:ascii="Times New Roman" w:hAnsi="Times New Roman" w:cs="Times New Roman"/>
        </w:rPr>
        <w:t xml:space="preserve"> and the ABA has concurred with a minor reservation relating to public property and contracts.</w:t>
      </w:r>
      <w:r w:rsidR="006226B1" w:rsidRPr="009259AB">
        <w:rPr>
          <w:rStyle w:val="FootnoteReference"/>
          <w:rFonts w:ascii="Times New Roman" w:hAnsi="Times New Roman"/>
        </w:rPr>
        <w:footnoteReference w:id="27"/>
      </w:r>
      <w:r w:rsidR="006226B1" w:rsidRPr="009259AB">
        <w:rPr>
          <w:rFonts w:ascii="Times New Roman" w:hAnsi="Times New Roman" w:cs="Times New Roman"/>
        </w:rPr>
        <w:t xml:space="preserve">  We fear that the adverse effect of these exemptions will only increase now that the Department of Agriculture (USDA) has revoked its policy – dating back to 1971 – of voluntarily employing notice</w:t>
      </w:r>
      <w:r w:rsidR="00435ACD">
        <w:rPr>
          <w:rFonts w:ascii="Times New Roman" w:hAnsi="Times New Roman" w:cs="Times New Roman"/>
        </w:rPr>
        <w:t>–</w:t>
      </w:r>
      <w:r w:rsidR="006226B1" w:rsidRPr="009259AB">
        <w:rPr>
          <w:rFonts w:ascii="Times New Roman" w:hAnsi="Times New Roman" w:cs="Times New Roman"/>
        </w:rPr>
        <w:t>and</w:t>
      </w:r>
      <w:r w:rsidR="00435ACD">
        <w:rPr>
          <w:rFonts w:ascii="Times New Roman" w:hAnsi="Times New Roman" w:cs="Times New Roman"/>
        </w:rPr>
        <w:t>-</w:t>
      </w:r>
      <w:r w:rsidR="006226B1" w:rsidRPr="009259AB">
        <w:rPr>
          <w:rFonts w:ascii="Times New Roman" w:hAnsi="Times New Roman" w:cs="Times New Roman"/>
        </w:rPr>
        <w:t>comment in rulemakings that fall within the terms of the former exemption.</w:t>
      </w:r>
      <w:r>
        <w:rPr>
          <w:rStyle w:val="FootnoteReference"/>
          <w:rFonts w:ascii="Times New Roman" w:hAnsi="Times New Roman"/>
        </w:rPr>
        <w:footnoteReference w:id="28"/>
      </w:r>
    </w:p>
    <w:p w14:paraId="159AA2F4" w14:textId="77777777" w:rsidR="006226B1" w:rsidRPr="009259AB" w:rsidRDefault="00D82884" w:rsidP="006226B1">
      <w:pPr>
        <w:widowControl w:val="0"/>
        <w:autoSpaceDE w:val="0"/>
        <w:autoSpaceDN w:val="0"/>
        <w:adjustRightInd w:val="0"/>
        <w:spacing w:after="240"/>
        <w:ind w:firstLine="720"/>
        <w:rPr>
          <w:rFonts w:ascii="Times New Roman" w:hAnsi="Times New Roman" w:cs="Times New Roman"/>
        </w:rPr>
      </w:pPr>
      <w:r>
        <w:rPr>
          <w:rFonts w:ascii="Times New Roman" w:hAnsi="Times New Roman" w:cs="Times New Roman"/>
        </w:rPr>
        <w:t xml:space="preserve">As the ABA did in 1981, we urge Congress to narrow the exemption </w:t>
      </w:r>
      <w:r w:rsidR="00D717CB">
        <w:rPr>
          <w:rFonts w:ascii="Times New Roman" w:hAnsi="Times New Roman" w:cs="Times New Roman"/>
        </w:rPr>
        <w:t xml:space="preserve">in § 553(a)(2) </w:t>
      </w:r>
      <w:r>
        <w:rPr>
          <w:rFonts w:ascii="Times New Roman" w:hAnsi="Times New Roman" w:cs="Times New Roman"/>
        </w:rPr>
        <w:t>for “public property [and] contracts” so that the development and formulation of generally applicable policies with respect to public propert</w:t>
      </w:r>
      <w:r w:rsidR="00D717CB">
        <w:rPr>
          <w:rFonts w:ascii="Times New Roman" w:hAnsi="Times New Roman" w:cs="Times New Roman"/>
        </w:rPr>
        <w:t>y and contracts would</w:t>
      </w:r>
      <w:r>
        <w:rPr>
          <w:rFonts w:ascii="Times New Roman" w:hAnsi="Times New Roman" w:cs="Times New Roman"/>
        </w:rPr>
        <w:t xml:space="preserve"> be governed by § 553</w:t>
      </w:r>
      <w:r w:rsidR="00D717CB">
        <w:rPr>
          <w:rFonts w:ascii="Times New Roman" w:hAnsi="Times New Roman" w:cs="Times New Roman"/>
        </w:rPr>
        <w:t>.</w:t>
      </w:r>
    </w:p>
    <w:p w14:paraId="604C9764" w14:textId="6689A410" w:rsidR="0032682C" w:rsidRPr="009259AB" w:rsidRDefault="006226B1" w:rsidP="006226B1">
      <w:pPr>
        <w:widowControl w:val="0"/>
        <w:autoSpaceDE w:val="0"/>
        <w:autoSpaceDN w:val="0"/>
        <w:adjustRightInd w:val="0"/>
        <w:spacing w:after="240"/>
        <w:ind w:firstLine="720"/>
        <w:rPr>
          <w:rFonts w:ascii="Times New Roman" w:hAnsi="Times New Roman" w:cs="Times New Roman"/>
        </w:rPr>
      </w:pPr>
      <w:r w:rsidRPr="009259AB">
        <w:rPr>
          <w:rFonts w:ascii="Times New Roman" w:hAnsi="Times New Roman" w:cs="Times New Roman"/>
        </w:rPr>
        <w:t xml:space="preserve">We also urge narrowing </w:t>
      </w:r>
      <w:r w:rsidR="0032682C" w:rsidRPr="009259AB">
        <w:rPr>
          <w:rFonts w:ascii="Times New Roman" w:hAnsi="Times New Roman" w:cs="Times New Roman"/>
        </w:rPr>
        <w:t>the exemption in § 553(a)(1) relating to “militar</w:t>
      </w:r>
      <w:r w:rsidR="00752E8B" w:rsidRPr="009259AB">
        <w:rPr>
          <w:rFonts w:ascii="Times New Roman" w:hAnsi="Times New Roman" w:cs="Times New Roman"/>
        </w:rPr>
        <w:t>y or foreign affairs functions</w:t>
      </w:r>
      <w:r w:rsidRPr="009259AB">
        <w:rPr>
          <w:rFonts w:ascii="Times New Roman" w:hAnsi="Times New Roman" w:cs="Times New Roman"/>
        </w:rPr>
        <w:t>.</w:t>
      </w:r>
      <w:r w:rsidR="001529F5">
        <w:rPr>
          <w:rFonts w:ascii="Times New Roman" w:hAnsi="Times New Roman" w:cs="Times New Roman"/>
        </w:rPr>
        <w:t>”</w:t>
      </w:r>
      <w:r w:rsidRPr="009259AB">
        <w:rPr>
          <w:rFonts w:ascii="Times New Roman" w:hAnsi="Times New Roman" w:cs="Times New Roman"/>
        </w:rPr>
        <w:t xml:space="preserve"> </w:t>
      </w:r>
      <w:r w:rsidR="00191EFF" w:rsidRPr="009259AB">
        <w:rPr>
          <w:rFonts w:ascii="Times New Roman" w:hAnsi="Times New Roman" w:cs="Times New Roman"/>
        </w:rPr>
        <w:t xml:space="preserve"> </w:t>
      </w:r>
      <w:r w:rsidR="0032682C" w:rsidRPr="009259AB">
        <w:rPr>
          <w:rFonts w:ascii="Times New Roman" w:hAnsi="Times New Roman" w:cs="Times New Roman"/>
        </w:rPr>
        <w:t xml:space="preserve">Both the ABA and </w:t>
      </w:r>
      <w:r w:rsidR="00752E8B" w:rsidRPr="009259AB">
        <w:rPr>
          <w:rFonts w:ascii="Times New Roman" w:hAnsi="Times New Roman" w:cs="Times New Roman"/>
        </w:rPr>
        <w:t>ACUS h</w:t>
      </w:r>
      <w:r w:rsidR="0032682C" w:rsidRPr="009259AB">
        <w:rPr>
          <w:rFonts w:ascii="Times New Roman" w:hAnsi="Times New Roman" w:cs="Times New Roman"/>
        </w:rPr>
        <w:t>ave</w:t>
      </w:r>
      <w:r w:rsidR="002C52B4" w:rsidRPr="009259AB">
        <w:rPr>
          <w:rFonts w:ascii="Times New Roman" w:hAnsi="Times New Roman" w:cs="Times New Roman"/>
        </w:rPr>
        <w:t xml:space="preserve"> long</w:t>
      </w:r>
      <w:r w:rsidR="0032682C" w:rsidRPr="009259AB">
        <w:rPr>
          <w:rFonts w:ascii="Times New Roman" w:hAnsi="Times New Roman" w:cs="Times New Roman"/>
        </w:rPr>
        <w:t xml:space="preserve"> recommended that this exemption be limited to the scope of the Freedom of Information Act exemption</w:t>
      </w:r>
      <w:r w:rsidR="0032682C" w:rsidRPr="009259AB">
        <w:rPr>
          <w:rFonts w:ascii="Times New Roman" w:hAnsi="Times New Roman" w:cs="Times New Roman"/>
          <w:position w:val="13"/>
        </w:rPr>
        <w:t xml:space="preserve"> </w:t>
      </w:r>
      <w:r w:rsidR="00752E8B" w:rsidRPr="009259AB">
        <w:rPr>
          <w:rFonts w:ascii="Times New Roman" w:hAnsi="Times New Roman" w:cs="Times New Roman"/>
        </w:rPr>
        <w:t>for classified information.</w:t>
      </w:r>
      <w:r w:rsidR="002C52B4" w:rsidRPr="009259AB">
        <w:rPr>
          <w:rStyle w:val="FootnoteReference"/>
          <w:rFonts w:ascii="Times New Roman" w:hAnsi="Times New Roman"/>
        </w:rPr>
        <w:footnoteReference w:id="29"/>
      </w:r>
      <w:r w:rsidR="00752E8B" w:rsidRPr="009259AB">
        <w:rPr>
          <w:rFonts w:ascii="Times New Roman" w:hAnsi="Times New Roman" w:cs="Times New Roman"/>
        </w:rPr>
        <w:t xml:space="preserve">  O</w:t>
      </w:r>
      <w:r w:rsidR="0032682C" w:rsidRPr="009259AB">
        <w:rPr>
          <w:rFonts w:ascii="Times New Roman" w:hAnsi="Times New Roman" w:cs="Times New Roman"/>
        </w:rPr>
        <w:t xml:space="preserve">therwise, rules addressing military and foreign affairs </w:t>
      </w:r>
      <w:r w:rsidR="00435ACD">
        <w:rPr>
          <w:rFonts w:ascii="Times New Roman" w:hAnsi="Times New Roman" w:cs="Times New Roman"/>
        </w:rPr>
        <w:t>functions</w:t>
      </w:r>
      <w:r w:rsidR="0032682C" w:rsidRPr="009259AB">
        <w:rPr>
          <w:rFonts w:ascii="Times New Roman" w:hAnsi="Times New Roman" w:cs="Times New Roman"/>
        </w:rPr>
        <w:t xml:space="preserve"> should be subject to the public notice</w:t>
      </w:r>
      <w:r w:rsidR="00435ACD">
        <w:rPr>
          <w:rFonts w:ascii="Times New Roman" w:hAnsi="Times New Roman" w:cs="Times New Roman"/>
        </w:rPr>
        <w:t>–</w:t>
      </w:r>
      <w:r w:rsidR="0032682C" w:rsidRPr="009259AB">
        <w:rPr>
          <w:rFonts w:ascii="Times New Roman" w:hAnsi="Times New Roman" w:cs="Times New Roman"/>
        </w:rPr>
        <w:t>and</w:t>
      </w:r>
      <w:r w:rsidR="00435ACD">
        <w:rPr>
          <w:rFonts w:ascii="Times New Roman" w:hAnsi="Times New Roman" w:cs="Times New Roman"/>
        </w:rPr>
        <w:t>-</w:t>
      </w:r>
      <w:r w:rsidR="0032682C" w:rsidRPr="009259AB">
        <w:rPr>
          <w:rFonts w:ascii="Times New Roman" w:hAnsi="Times New Roman" w:cs="Times New Roman"/>
        </w:rPr>
        <w:t>comment requirements of § 553</w:t>
      </w:r>
      <w:r w:rsidR="00435ACD">
        <w:rPr>
          <w:rFonts w:ascii="Times New Roman" w:hAnsi="Times New Roman" w:cs="Times New Roman"/>
        </w:rPr>
        <w:t xml:space="preserve"> unless they are covered by another exemption</w:t>
      </w:r>
      <w:r w:rsidR="0032682C" w:rsidRPr="009259AB">
        <w:rPr>
          <w:rFonts w:ascii="Times New Roman" w:hAnsi="Times New Roman" w:cs="Times New Roman"/>
        </w:rPr>
        <w:t xml:space="preserve">. </w:t>
      </w:r>
    </w:p>
    <w:p w14:paraId="6D2E67F1" w14:textId="162E77EC" w:rsidR="006A65C0" w:rsidRPr="009259AB" w:rsidRDefault="002C52B4" w:rsidP="002C52B4">
      <w:pPr>
        <w:widowControl w:val="0"/>
        <w:autoSpaceDE w:val="0"/>
        <w:autoSpaceDN w:val="0"/>
        <w:adjustRightInd w:val="0"/>
        <w:spacing w:after="240"/>
        <w:ind w:firstLine="720"/>
        <w:rPr>
          <w:rFonts w:ascii="Times New Roman" w:hAnsi="Times New Roman" w:cs="Times New Roman"/>
        </w:rPr>
      </w:pPr>
      <w:r w:rsidRPr="009259AB">
        <w:rPr>
          <w:rFonts w:ascii="Times New Roman" w:hAnsi="Times New Roman" w:cs="Times New Roman"/>
        </w:rPr>
        <w:t>A requirement that rules in the subject areas of both exemptions must be issued through the normal notice</w:t>
      </w:r>
      <w:r w:rsidR="00435ACD">
        <w:rPr>
          <w:rFonts w:ascii="Times New Roman" w:hAnsi="Times New Roman" w:cs="Times New Roman"/>
        </w:rPr>
        <w:t>-</w:t>
      </w:r>
      <w:r w:rsidRPr="009259AB">
        <w:rPr>
          <w:rFonts w:ascii="Times New Roman" w:hAnsi="Times New Roman" w:cs="Times New Roman"/>
        </w:rPr>
        <w:t>and</w:t>
      </w:r>
      <w:r w:rsidR="00435ACD">
        <w:rPr>
          <w:rFonts w:ascii="Times New Roman" w:hAnsi="Times New Roman" w:cs="Times New Roman"/>
        </w:rPr>
        <w:t>-</w:t>
      </w:r>
      <w:r w:rsidRPr="009259AB">
        <w:rPr>
          <w:rFonts w:ascii="Times New Roman" w:hAnsi="Times New Roman" w:cs="Times New Roman"/>
        </w:rPr>
        <w:t>comment process would harmonize well with th</w:t>
      </w:r>
      <w:r w:rsidR="00120D49">
        <w:rPr>
          <w:rFonts w:ascii="Times New Roman" w:hAnsi="Times New Roman" w:cs="Times New Roman"/>
        </w:rPr>
        <w:t>is recommendation</w:t>
      </w:r>
      <w:r w:rsidRPr="009259AB">
        <w:rPr>
          <w:rFonts w:ascii="Times New Roman" w:hAnsi="Times New Roman" w:cs="Times New Roman"/>
        </w:rPr>
        <w:t>’s overall emphasis on promoting public participation and agency accountability in rulemaking.</w:t>
      </w:r>
    </w:p>
    <w:p w14:paraId="273982A6" w14:textId="5B5F3DC2" w:rsidR="00DB0F49" w:rsidRPr="009259AB" w:rsidRDefault="00B724E1" w:rsidP="00A472C2">
      <w:pPr>
        <w:rPr>
          <w:rFonts w:ascii="Times New Roman" w:eastAsia="Times New Roman" w:hAnsi="Times New Roman" w:cs="Times New Roman"/>
          <w:b/>
          <w:shd w:val="clear" w:color="auto" w:fill="FFFFFF"/>
        </w:rPr>
      </w:pPr>
      <w:r w:rsidRPr="009259AB">
        <w:rPr>
          <w:rFonts w:ascii="Times New Roman" w:hAnsi="Times New Roman" w:cs="Times New Roman"/>
          <w:b/>
        </w:rPr>
        <w:t>I</w:t>
      </w:r>
      <w:r w:rsidR="00F7752F" w:rsidRPr="009259AB">
        <w:rPr>
          <w:rFonts w:ascii="Times New Roman" w:hAnsi="Times New Roman" w:cs="Times New Roman"/>
          <w:b/>
        </w:rPr>
        <w:t>X.</w:t>
      </w:r>
      <w:r w:rsidR="00DB0F49" w:rsidRPr="009259AB">
        <w:rPr>
          <w:rFonts w:ascii="Times New Roman" w:hAnsi="Times New Roman" w:cs="Times New Roman"/>
          <w:b/>
        </w:rPr>
        <w:tab/>
      </w:r>
      <w:r w:rsidR="00A472C2" w:rsidRPr="009259AB">
        <w:rPr>
          <w:rFonts w:ascii="Times New Roman" w:eastAsia="Times New Roman" w:hAnsi="Times New Roman" w:cs="Times New Roman"/>
          <w:b/>
          <w:shd w:val="clear" w:color="auto" w:fill="FFFFFF"/>
        </w:rPr>
        <w:t xml:space="preserve">Codify existing use of interim final rulemaking for the exercise of the </w:t>
      </w:r>
      <w:r w:rsidR="00120D49">
        <w:rPr>
          <w:rFonts w:ascii="Times New Roman" w:eastAsia="Times New Roman" w:hAnsi="Times New Roman" w:cs="Times New Roman"/>
          <w:b/>
          <w:shd w:val="clear" w:color="auto" w:fill="FFFFFF"/>
        </w:rPr>
        <w:t>“</w:t>
      </w:r>
      <w:r w:rsidR="00A472C2" w:rsidRPr="009259AB">
        <w:rPr>
          <w:rFonts w:ascii="Times New Roman" w:eastAsia="Times New Roman" w:hAnsi="Times New Roman" w:cs="Times New Roman"/>
          <w:b/>
          <w:shd w:val="clear" w:color="auto" w:fill="FFFFFF"/>
        </w:rPr>
        <w:t>good</w:t>
      </w:r>
    </w:p>
    <w:p w14:paraId="349B7563" w14:textId="6FD12A4B" w:rsidR="00DB0F49" w:rsidRPr="009259AB" w:rsidRDefault="00A472C2" w:rsidP="007A02BE">
      <w:pPr>
        <w:ind w:firstLine="720"/>
        <w:rPr>
          <w:rFonts w:ascii="Times New Roman" w:eastAsia="Times New Roman" w:hAnsi="Times New Roman" w:cs="Times New Roman"/>
          <w:b/>
          <w:shd w:val="clear" w:color="auto" w:fill="FFFFFF"/>
        </w:rPr>
      </w:pPr>
      <w:r w:rsidRPr="009259AB">
        <w:rPr>
          <w:rFonts w:ascii="Times New Roman" w:eastAsia="Times New Roman" w:hAnsi="Times New Roman" w:cs="Times New Roman"/>
          <w:b/>
          <w:shd w:val="clear" w:color="auto" w:fill="FFFFFF"/>
        </w:rPr>
        <w:t>cause</w:t>
      </w:r>
      <w:r w:rsidR="00120D49">
        <w:rPr>
          <w:rFonts w:ascii="Times New Roman" w:eastAsia="Times New Roman" w:hAnsi="Times New Roman" w:cs="Times New Roman"/>
          <w:b/>
          <w:shd w:val="clear" w:color="auto" w:fill="FFFFFF"/>
        </w:rPr>
        <w:t>”</w:t>
      </w:r>
      <w:r w:rsidRPr="009259AB">
        <w:rPr>
          <w:rFonts w:ascii="Times New Roman" w:eastAsia="Times New Roman" w:hAnsi="Times New Roman" w:cs="Times New Roman"/>
          <w:b/>
          <w:shd w:val="clear" w:color="auto" w:fill="FFFFFF"/>
        </w:rPr>
        <w:t xml:space="preserve"> exemption and set requirements for the consideration of public</w:t>
      </w:r>
    </w:p>
    <w:p w14:paraId="456B522F" w14:textId="6D509251" w:rsidR="00BF5B88" w:rsidRPr="009259AB" w:rsidRDefault="00A472C2" w:rsidP="007A02BE">
      <w:pPr>
        <w:ind w:firstLine="720"/>
        <w:rPr>
          <w:rFonts w:ascii="Times New Roman" w:eastAsia="Times New Roman" w:hAnsi="Times New Roman" w:cs="Times New Roman"/>
          <w:shd w:val="clear" w:color="auto" w:fill="FFFFFF"/>
        </w:rPr>
      </w:pPr>
      <w:r w:rsidRPr="009259AB">
        <w:rPr>
          <w:rFonts w:ascii="Times New Roman" w:eastAsia="Times New Roman" w:hAnsi="Times New Roman" w:cs="Times New Roman"/>
          <w:b/>
          <w:shd w:val="clear" w:color="auto" w:fill="FFFFFF"/>
        </w:rPr>
        <w:t>comments in final rulemaking</w:t>
      </w:r>
      <w:r w:rsidRPr="009259AB">
        <w:rPr>
          <w:rFonts w:ascii="Times New Roman" w:eastAsia="Times New Roman" w:hAnsi="Times New Roman" w:cs="Times New Roman"/>
          <w:b/>
        </w:rPr>
        <w:br/>
      </w:r>
    </w:p>
    <w:p w14:paraId="34A45D6D" w14:textId="172DE803" w:rsidR="00BF5B88" w:rsidRPr="009259AB" w:rsidRDefault="00A472C2" w:rsidP="00BF5B88">
      <w:pPr>
        <w:ind w:firstLine="585"/>
        <w:rPr>
          <w:rFonts w:ascii="Times New Roman" w:eastAsia="Times New Roman" w:hAnsi="Times New Roman" w:cs="Times New Roman"/>
          <w:shd w:val="clear" w:color="auto" w:fill="FFFFFF"/>
        </w:rPr>
      </w:pPr>
      <w:r w:rsidRPr="009259AB">
        <w:rPr>
          <w:rFonts w:ascii="Times New Roman" w:eastAsia="Times New Roman" w:hAnsi="Times New Roman" w:cs="Times New Roman"/>
          <w:shd w:val="clear" w:color="auto" w:fill="FFFFFF"/>
        </w:rPr>
        <w:t xml:space="preserve">As emphasized above, the opportunity to comment on the factual basis of rules in advance of their adoption is fundamental to the democratic legitimacy of the rulemaking process. </w:t>
      </w:r>
      <w:r w:rsidR="00415064">
        <w:rPr>
          <w:rFonts w:ascii="Times New Roman" w:eastAsia="Times New Roman" w:hAnsi="Times New Roman" w:cs="Times New Roman"/>
          <w:shd w:val="clear" w:color="auto" w:fill="FFFFFF"/>
        </w:rPr>
        <w:t xml:space="preserve"> </w:t>
      </w:r>
      <w:r w:rsidRPr="009259AB">
        <w:rPr>
          <w:rFonts w:ascii="Times New Roman" w:eastAsia="Times New Roman" w:hAnsi="Times New Roman" w:cs="Times New Roman"/>
          <w:shd w:val="clear" w:color="auto" w:fill="FFFFFF"/>
        </w:rPr>
        <w:t xml:space="preserve">However, there are circumstances in which </w:t>
      </w:r>
      <w:r w:rsidR="00415064">
        <w:rPr>
          <w:rFonts w:ascii="Times New Roman" w:eastAsia="Times New Roman" w:hAnsi="Times New Roman" w:cs="Times New Roman"/>
          <w:shd w:val="clear" w:color="auto" w:fill="FFFFFF"/>
        </w:rPr>
        <w:t xml:space="preserve">it is </w:t>
      </w:r>
      <w:r w:rsidR="00415064" w:rsidRPr="009259AB">
        <w:rPr>
          <w:rFonts w:ascii="Times New Roman" w:eastAsia="Times New Roman" w:hAnsi="Times New Roman" w:cs="Times New Roman"/>
          <w:shd w:val="clear" w:color="auto" w:fill="FFFFFF"/>
        </w:rPr>
        <w:t xml:space="preserve">reasonable </w:t>
      </w:r>
      <w:r w:rsidR="00415064">
        <w:rPr>
          <w:rFonts w:ascii="Times New Roman" w:eastAsia="Times New Roman" w:hAnsi="Times New Roman" w:cs="Times New Roman"/>
          <w:shd w:val="clear" w:color="auto" w:fill="FFFFFF"/>
        </w:rPr>
        <w:t xml:space="preserve">to allow </w:t>
      </w:r>
      <w:r w:rsidRPr="009259AB">
        <w:rPr>
          <w:rFonts w:ascii="Times New Roman" w:eastAsia="Times New Roman" w:hAnsi="Times New Roman" w:cs="Times New Roman"/>
          <w:shd w:val="clear" w:color="auto" w:fill="FFFFFF"/>
        </w:rPr>
        <w:t xml:space="preserve">an agency </w:t>
      </w:r>
      <w:r w:rsidR="00415064">
        <w:rPr>
          <w:rFonts w:ascii="Times New Roman" w:eastAsia="Times New Roman" w:hAnsi="Times New Roman" w:cs="Times New Roman"/>
          <w:shd w:val="clear" w:color="auto" w:fill="FFFFFF"/>
        </w:rPr>
        <w:t xml:space="preserve">to </w:t>
      </w:r>
      <w:r w:rsidRPr="009259AB">
        <w:rPr>
          <w:rFonts w:ascii="Times New Roman" w:eastAsia="Times New Roman" w:hAnsi="Times New Roman" w:cs="Times New Roman"/>
          <w:shd w:val="clear" w:color="auto" w:fill="FFFFFF"/>
        </w:rPr>
        <w:t xml:space="preserve">engage in rulemaking without providing the public that opportunity.  The APA </w:t>
      </w:r>
      <w:r w:rsidR="00435ACD">
        <w:rPr>
          <w:rFonts w:ascii="Times New Roman" w:eastAsia="Times New Roman" w:hAnsi="Times New Roman" w:cs="Times New Roman"/>
          <w:shd w:val="clear" w:color="auto" w:fill="FFFFFF"/>
        </w:rPr>
        <w:t xml:space="preserve">specifically </w:t>
      </w:r>
      <w:r w:rsidR="00415064">
        <w:rPr>
          <w:rFonts w:ascii="Times New Roman" w:eastAsia="Times New Roman" w:hAnsi="Times New Roman" w:cs="Times New Roman"/>
          <w:shd w:val="clear" w:color="auto" w:fill="FFFFFF"/>
        </w:rPr>
        <w:t>authorizes agencies</w:t>
      </w:r>
      <w:r w:rsidRPr="009259AB">
        <w:rPr>
          <w:rFonts w:ascii="Times New Roman" w:eastAsia="Times New Roman" w:hAnsi="Times New Roman" w:cs="Times New Roman"/>
          <w:shd w:val="clear" w:color="auto" w:fill="FFFFFF"/>
        </w:rPr>
        <w:t xml:space="preserve"> to do so through the </w:t>
      </w:r>
      <w:r w:rsidR="00120D49">
        <w:rPr>
          <w:rFonts w:ascii="Times New Roman" w:eastAsia="Times New Roman" w:hAnsi="Times New Roman" w:cs="Times New Roman"/>
          <w:shd w:val="clear" w:color="auto" w:fill="FFFFFF"/>
        </w:rPr>
        <w:t>“</w:t>
      </w:r>
      <w:r w:rsidRPr="009259AB">
        <w:rPr>
          <w:rFonts w:ascii="Times New Roman" w:eastAsia="Times New Roman" w:hAnsi="Times New Roman" w:cs="Times New Roman"/>
          <w:shd w:val="clear" w:color="auto" w:fill="FFFFFF"/>
        </w:rPr>
        <w:t>good cause</w:t>
      </w:r>
      <w:r w:rsidR="00120D49">
        <w:rPr>
          <w:rFonts w:ascii="Times New Roman" w:eastAsia="Times New Roman" w:hAnsi="Times New Roman" w:cs="Times New Roman"/>
          <w:shd w:val="clear" w:color="auto" w:fill="FFFFFF"/>
        </w:rPr>
        <w:t>”</w:t>
      </w:r>
      <w:r w:rsidRPr="009259AB">
        <w:rPr>
          <w:rFonts w:ascii="Times New Roman" w:eastAsia="Times New Roman" w:hAnsi="Times New Roman" w:cs="Times New Roman"/>
          <w:shd w:val="clear" w:color="auto" w:fill="FFFFFF"/>
        </w:rPr>
        <w:t xml:space="preserve"> exemption, which allows an agency to promulgate a rule without notice and comment when notice and comments would be “impracticable, unnecessary, or contrary to the public inter</w:t>
      </w:r>
      <w:r w:rsidR="002B45A6" w:rsidRPr="009259AB">
        <w:rPr>
          <w:rFonts w:ascii="Times New Roman" w:eastAsia="Times New Roman" w:hAnsi="Times New Roman" w:cs="Times New Roman"/>
          <w:shd w:val="clear" w:color="auto" w:fill="FFFFFF"/>
        </w:rPr>
        <w:t>est.”</w:t>
      </w:r>
      <w:r w:rsidR="00DB0F49" w:rsidRPr="009259AB">
        <w:rPr>
          <w:rStyle w:val="FootnoteReference"/>
          <w:rFonts w:ascii="Times New Roman" w:eastAsia="Times New Roman" w:hAnsi="Times New Roman"/>
          <w:shd w:val="clear" w:color="auto" w:fill="FFFFFF"/>
        </w:rPr>
        <w:footnoteReference w:id="30"/>
      </w:r>
      <w:r w:rsidR="00DB0F49" w:rsidRPr="009259AB">
        <w:rPr>
          <w:rFonts w:ascii="Times New Roman" w:eastAsia="Times New Roman" w:hAnsi="Times New Roman" w:cs="Times New Roman"/>
          <w:shd w:val="clear" w:color="auto" w:fill="FFFFFF"/>
        </w:rPr>
        <w:t xml:space="preserve"> </w:t>
      </w:r>
      <w:r w:rsidR="002B45A6" w:rsidRPr="009259AB">
        <w:rPr>
          <w:rFonts w:ascii="Times New Roman" w:eastAsia="Times New Roman" w:hAnsi="Times New Roman" w:cs="Times New Roman"/>
          <w:shd w:val="clear" w:color="auto" w:fill="FFFFFF"/>
        </w:rPr>
        <w:t xml:space="preserve"> </w:t>
      </w:r>
      <w:r w:rsidR="00415064">
        <w:rPr>
          <w:rFonts w:ascii="Times New Roman" w:eastAsia="Times New Roman" w:hAnsi="Times New Roman" w:cs="Times New Roman"/>
          <w:shd w:val="clear" w:color="auto" w:fill="FFFFFF"/>
        </w:rPr>
        <w:t>While this allowance is appropriate, w</w:t>
      </w:r>
      <w:r w:rsidR="002B45A6" w:rsidRPr="009259AB">
        <w:rPr>
          <w:rFonts w:ascii="Times New Roman" w:eastAsia="Times New Roman" w:hAnsi="Times New Roman" w:cs="Times New Roman"/>
          <w:shd w:val="clear" w:color="auto" w:fill="FFFFFF"/>
        </w:rPr>
        <w:t>e believe</w:t>
      </w:r>
      <w:r w:rsidRPr="009259AB">
        <w:rPr>
          <w:rFonts w:ascii="Times New Roman" w:eastAsia="Times New Roman" w:hAnsi="Times New Roman" w:cs="Times New Roman"/>
          <w:shd w:val="clear" w:color="auto" w:fill="FFFFFF"/>
        </w:rPr>
        <w:t xml:space="preserve"> that </w:t>
      </w:r>
      <w:r w:rsidR="00415064">
        <w:rPr>
          <w:rFonts w:ascii="Times New Roman" w:eastAsia="Times New Roman" w:hAnsi="Times New Roman" w:cs="Times New Roman"/>
          <w:shd w:val="clear" w:color="auto" w:fill="FFFFFF"/>
        </w:rPr>
        <w:t xml:space="preserve">its proper </w:t>
      </w:r>
      <w:r w:rsidRPr="009259AB">
        <w:rPr>
          <w:rFonts w:ascii="Times New Roman" w:eastAsia="Times New Roman" w:hAnsi="Times New Roman" w:cs="Times New Roman"/>
          <w:shd w:val="clear" w:color="auto" w:fill="FFFFFF"/>
        </w:rPr>
        <w:t xml:space="preserve">exercise </w:t>
      </w:r>
      <w:r w:rsidR="00415064">
        <w:rPr>
          <w:rFonts w:ascii="Times New Roman" w:eastAsia="Times New Roman" w:hAnsi="Times New Roman" w:cs="Times New Roman"/>
          <w:shd w:val="clear" w:color="auto" w:fill="FFFFFF"/>
        </w:rPr>
        <w:t xml:space="preserve">does not </w:t>
      </w:r>
      <w:r w:rsidRPr="009259AB">
        <w:rPr>
          <w:rFonts w:ascii="Times New Roman" w:eastAsia="Times New Roman" w:hAnsi="Times New Roman" w:cs="Times New Roman"/>
          <w:shd w:val="clear" w:color="auto" w:fill="FFFFFF"/>
        </w:rPr>
        <w:t>negate the public policy value, both to the public and to the agency, of public comment.</w:t>
      </w:r>
      <w:r w:rsidRPr="009259AB">
        <w:rPr>
          <w:rFonts w:ascii="Times New Roman" w:eastAsia="Times New Roman" w:hAnsi="Times New Roman" w:cs="Times New Roman"/>
        </w:rPr>
        <w:br/>
      </w:r>
    </w:p>
    <w:p w14:paraId="27BE764D" w14:textId="571C9455" w:rsidR="00BF5B88" w:rsidRPr="009259AB" w:rsidRDefault="00A472C2" w:rsidP="00BF5B88">
      <w:pPr>
        <w:ind w:firstLine="585"/>
        <w:rPr>
          <w:rFonts w:ascii="Times New Roman" w:eastAsia="Times New Roman" w:hAnsi="Times New Roman" w:cs="Times New Roman"/>
          <w:shd w:val="clear" w:color="auto" w:fill="FFFFFF"/>
        </w:rPr>
      </w:pPr>
      <w:r w:rsidRPr="009259AB">
        <w:rPr>
          <w:rFonts w:ascii="Times New Roman" w:eastAsia="Times New Roman" w:hAnsi="Times New Roman" w:cs="Times New Roman"/>
          <w:shd w:val="clear" w:color="auto" w:fill="FFFFFF"/>
        </w:rPr>
        <w:t xml:space="preserve">ACUS considered agency use of the </w:t>
      </w:r>
      <w:r w:rsidR="00120D49">
        <w:rPr>
          <w:rFonts w:ascii="Times New Roman" w:eastAsia="Times New Roman" w:hAnsi="Times New Roman" w:cs="Times New Roman"/>
          <w:shd w:val="clear" w:color="auto" w:fill="FFFFFF"/>
        </w:rPr>
        <w:t>“</w:t>
      </w:r>
      <w:r w:rsidRPr="009259AB">
        <w:rPr>
          <w:rFonts w:ascii="Times New Roman" w:eastAsia="Times New Roman" w:hAnsi="Times New Roman" w:cs="Times New Roman"/>
          <w:shd w:val="clear" w:color="auto" w:fill="FFFFFF"/>
        </w:rPr>
        <w:t>good cause</w:t>
      </w:r>
      <w:r w:rsidR="00120D49">
        <w:rPr>
          <w:rFonts w:ascii="Times New Roman" w:eastAsia="Times New Roman" w:hAnsi="Times New Roman" w:cs="Times New Roman"/>
          <w:shd w:val="clear" w:color="auto" w:fill="FFFFFF"/>
        </w:rPr>
        <w:t>”</w:t>
      </w:r>
      <w:r w:rsidRPr="009259AB">
        <w:rPr>
          <w:rFonts w:ascii="Times New Roman" w:eastAsia="Times New Roman" w:hAnsi="Times New Roman" w:cs="Times New Roman"/>
          <w:shd w:val="clear" w:color="auto" w:fill="FFFFFF"/>
        </w:rPr>
        <w:t xml:space="preserve"> exemption in 1995, and recommended procedures by which an agency would invite </w:t>
      </w:r>
      <w:r w:rsidR="00120D49">
        <w:rPr>
          <w:rFonts w:ascii="Times New Roman" w:eastAsia="Times New Roman" w:hAnsi="Times New Roman" w:cs="Times New Roman"/>
          <w:shd w:val="clear" w:color="auto" w:fill="FFFFFF"/>
        </w:rPr>
        <w:t>“</w:t>
      </w:r>
      <w:r w:rsidRPr="009259AB">
        <w:rPr>
          <w:rFonts w:ascii="Times New Roman" w:eastAsia="Times New Roman" w:hAnsi="Times New Roman" w:cs="Times New Roman"/>
          <w:shd w:val="clear" w:color="auto" w:fill="FFFFFF"/>
        </w:rPr>
        <w:t>post-promulgation comments.</w:t>
      </w:r>
      <w:r w:rsidR="00120D49">
        <w:rPr>
          <w:rFonts w:ascii="Times New Roman" w:eastAsia="Times New Roman" w:hAnsi="Times New Roman" w:cs="Times New Roman"/>
          <w:shd w:val="clear" w:color="auto" w:fill="FFFFFF"/>
        </w:rPr>
        <w:t>”</w:t>
      </w:r>
      <w:r w:rsidRPr="009259AB">
        <w:rPr>
          <w:rFonts w:ascii="Times New Roman" w:eastAsia="Times New Roman" w:hAnsi="Times New Roman" w:cs="Times New Roman"/>
          <w:shd w:val="clear" w:color="auto" w:fill="FFFFFF"/>
        </w:rPr>
        <w:t xml:space="preserve">  For instances in which the agency believes notice and comment are “unnecessary,” it recommended “direct final rulemaking,” in which any “significant adverse comment” from the public would be sufficient to prevent the rule from automatically becoming final.  For instances in which the agency believes notice and comment are “impracticable” or “contrary to the public interest,” it recommended issuance of an “interim final rule,” which would serve simultaneously as a notice of final rulemaking and a request for comments.  ACUS further recommended that the agency should</w:t>
      </w:r>
      <w:r w:rsidR="00120D49">
        <w:rPr>
          <w:rFonts w:ascii="Times New Roman" w:eastAsia="Times New Roman" w:hAnsi="Times New Roman" w:cs="Times New Roman"/>
          <w:shd w:val="clear" w:color="auto" w:fill="FFFFFF"/>
        </w:rPr>
        <w:t>,</w:t>
      </w:r>
      <w:r w:rsidRPr="009259AB">
        <w:rPr>
          <w:rFonts w:ascii="Times New Roman" w:eastAsia="Times New Roman" w:hAnsi="Times New Roman" w:cs="Times New Roman"/>
          <w:shd w:val="clear" w:color="auto" w:fill="FFFFFF"/>
        </w:rPr>
        <w:t xml:space="preserve"> “as expeditiously as possible</w:t>
      </w:r>
      <w:r w:rsidR="00120D49">
        <w:rPr>
          <w:rFonts w:ascii="Times New Roman" w:eastAsia="Times New Roman" w:hAnsi="Times New Roman" w:cs="Times New Roman"/>
          <w:shd w:val="clear" w:color="auto" w:fill="FFFFFF"/>
        </w:rPr>
        <w:t>,</w:t>
      </w:r>
      <w:r w:rsidRPr="009259AB">
        <w:rPr>
          <w:rFonts w:ascii="Times New Roman" w:eastAsia="Times New Roman" w:hAnsi="Times New Roman" w:cs="Times New Roman"/>
          <w:shd w:val="clear" w:color="auto" w:fill="FFFFFF"/>
        </w:rPr>
        <w:t>” respond to comments and make changes to the rule.  It suggested the agency</w:t>
      </w:r>
      <w:r w:rsidR="00CB4D69" w:rsidRPr="009259AB">
        <w:rPr>
          <w:rFonts w:ascii="Times New Roman" w:eastAsia="Times New Roman" w:hAnsi="Times New Roman" w:cs="Times New Roman"/>
          <w:shd w:val="clear" w:color="auto" w:fill="FFFFFF"/>
        </w:rPr>
        <w:t xml:space="preserve"> consider</w:t>
      </w:r>
      <w:r w:rsidRPr="009259AB">
        <w:rPr>
          <w:rFonts w:ascii="Times New Roman" w:eastAsia="Times New Roman" w:hAnsi="Times New Roman" w:cs="Times New Roman"/>
          <w:shd w:val="clear" w:color="auto" w:fill="FFFFFF"/>
        </w:rPr>
        <w:t xml:space="preserve"> set</w:t>
      </w:r>
      <w:r w:rsidR="00CB4D69" w:rsidRPr="009259AB">
        <w:rPr>
          <w:rFonts w:ascii="Times New Roman" w:eastAsia="Times New Roman" w:hAnsi="Times New Roman" w:cs="Times New Roman"/>
          <w:shd w:val="clear" w:color="auto" w:fill="FFFFFF"/>
        </w:rPr>
        <w:t>ting</w:t>
      </w:r>
      <w:r w:rsidRPr="009259AB">
        <w:rPr>
          <w:rFonts w:ascii="Times New Roman" w:eastAsia="Times New Roman" w:hAnsi="Times New Roman" w:cs="Times New Roman"/>
          <w:shd w:val="clear" w:color="auto" w:fill="FFFFFF"/>
        </w:rPr>
        <w:t xml:space="preserve"> a deadline for consideration of comments and a termination date for the interim final rule.</w:t>
      </w:r>
      <w:r w:rsidRPr="009259AB">
        <w:rPr>
          <w:rFonts w:ascii="Times New Roman" w:eastAsia="Times New Roman" w:hAnsi="Times New Roman" w:cs="Times New Roman"/>
        </w:rPr>
        <w:br/>
      </w:r>
    </w:p>
    <w:p w14:paraId="13485196" w14:textId="4D5A5FB2" w:rsidR="007B4BA4" w:rsidRPr="009259AB" w:rsidRDefault="00A472C2" w:rsidP="007B4BA4">
      <w:pPr>
        <w:ind w:firstLine="585"/>
        <w:rPr>
          <w:rFonts w:ascii="Times New Roman" w:eastAsia="Times New Roman" w:hAnsi="Times New Roman" w:cs="Times New Roman"/>
          <w:shd w:val="clear" w:color="auto" w:fill="FFFFFF"/>
        </w:rPr>
      </w:pPr>
      <w:r w:rsidRPr="009259AB">
        <w:rPr>
          <w:rFonts w:ascii="Times New Roman" w:eastAsia="Times New Roman" w:hAnsi="Times New Roman" w:cs="Times New Roman"/>
          <w:shd w:val="clear" w:color="auto" w:fill="FFFFFF"/>
        </w:rPr>
        <w:t>Since the 1995 ACUS recommendation, use of interim final rulemaking has become commonplace, to the point that, in some cases, Congress has required the use of interim final rulemaking to meet tight statutory deadlines for rulemaking. With the increas</w:t>
      </w:r>
      <w:r w:rsidR="00415064">
        <w:rPr>
          <w:rFonts w:ascii="Times New Roman" w:eastAsia="Times New Roman" w:hAnsi="Times New Roman" w:cs="Times New Roman"/>
          <w:shd w:val="clear" w:color="auto" w:fill="FFFFFF"/>
        </w:rPr>
        <w:t xml:space="preserve">e </w:t>
      </w:r>
      <w:r w:rsidRPr="009259AB">
        <w:rPr>
          <w:rFonts w:ascii="Times New Roman" w:eastAsia="Times New Roman" w:hAnsi="Times New Roman" w:cs="Times New Roman"/>
          <w:shd w:val="clear" w:color="auto" w:fill="FFFFFF"/>
        </w:rPr>
        <w:t>in interim final rulemaking</w:t>
      </w:r>
      <w:r w:rsidR="00415064">
        <w:rPr>
          <w:rFonts w:ascii="Times New Roman" w:eastAsia="Times New Roman" w:hAnsi="Times New Roman" w:cs="Times New Roman"/>
          <w:shd w:val="clear" w:color="auto" w:fill="FFFFFF"/>
        </w:rPr>
        <w:t>s</w:t>
      </w:r>
      <w:r w:rsidRPr="009259AB">
        <w:rPr>
          <w:rFonts w:ascii="Times New Roman" w:eastAsia="Times New Roman" w:hAnsi="Times New Roman" w:cs="Times New Roman"/>
          <w:shd w:val="clear" w:color="auto" w:fill="FFFFFF"/>
        </w:rPr>
        <w:t>, the number of instances in which agencies do not “finalize” these rulemakings by responding to public comments and making appropriate changes has also increased.  This practice risks leaving in place a rule developed without public scrutiny and possibly based on an incomplete or erroneous administrative record. The public policy principles that underlie the authority of each agency to engage in the making of laws should be given full consideration, especially for those regulations initiated under exigent circumstances.</w:t>
      </w:r>
    </w:p>
    <w:p w14:paraId="2503A790" w14:textId="6A26C672" w:rsidR="00BF5B88" w:rsidRPr="009259AB" w:rsidRDefault="00BF5B88" w:rsidP="007B4BA4">
      <w:pPr>
        <w:ind w:firstLine="585"/>
        <w:rPr>
          <w:rFonts w:ascii="Times New Roman" w:eastAsia="Times New Roman" w:hAnsi="Times New Roman" w:cs="Times New Roman"/>
          <w:shd w:val="clear" w:color="auto" w:fill="FFFFFF"/>
        </w:rPr>
      </w:pPr>
    </w:p>
    <w:p w14:paraId="6BD7FEF4" w14:textId="5B27D73A" w:rsidR="007B4BA4" w:rsidRPr="009259AB" w:rsidRDefault="00B0390E" w:rsidP="00B724E1">
      <w:pPr>
        <w:ind w:firstLine="585"/>
        <w:rPr>
          <w:rFonts w:ascii="Times New Roman" w:eastAsia="Times New Roman" w:hAnsi="Times New Roman" w:cs="Times New Roman"/>
          <w:shd w:val="clear" w:color="auto" w:fill="FFFFFF"/>
        </w:rPr>
      </w:pPr>
      <w:r w:rsidRPr="009259AB">
        <w:rPr>
          <w:rFonts w:ascii="Times New Roman" w:eastAsia="Times New Roman" w:hAnsi="Times New Roman" w:cs="Times New Roman"/>
          <w:shd w:val="clear" w:color="auto" w:fill="FFFFFF"/>
        </w:rPr>
        <w:t xml:space="preserve">Legislation has been advanced that would address this growing problem by providing that interim rules would cease to have effect if agencies did not respond to comments </w:t>
      </w:r>
      <w:r w:rsidR="00DD2472" w:rsidRPr="009259AB">
        <w:rPr>
          <w:rFonts w:ascii="Times New Roman" w:eastAsia="Times New Roman" w:hAnsi="Times New Roman" w:cs="Times New Roman"/>
          <w:shd w:val="clear" w:color="auto" w:fill="FFFFFF"/>
        </w:rPr>
        <w:t>and reissue the rule within 9-18 months.</w:t>
      </w:r>
      <w:r w:rsidR="00DD2472" w:rsidRPr="009259AB">
        <w:rPr>
          <w:rStyle w:val="FootnoteReference"/>
          <w:rFonts w:ascii="Times New Roman" w:eastAsia="Times New Roman" w:hAnsi="Times New Roman"/>
          <w:shd w:val="clear" w:color="auto" w:fill="FFFFFF"/>
        </w:rPr>
        <w:footnoteReference w:id="31"/>
      </w:r>
      <w:r w:rsidR="00DD2472" w:rsidRPr="009259AB">
        <w:rPr>
          <w:rFonts w:ascii="Times New Roman" w:eastAsia="Times New Roman" w:hAnsi="Times New Roman" w:cs="Times New Roman"/>
          <w:shd w:val="clear" w:color="auto" w:fill="FFFFFF"/>
        </w:rPr>
        <w:t xml:space="preserve">  We are </w:t>
      </w:r>
      <w:r w:rsidR="007B4BA4" w:rsidRPr="009259AB">
        <w:rPr>
          <w:rFonts w:ascii="Times New Roman" w:eastAsia="Times New Roman" w:hAnsi="Times New Roman" w:cs="Times New Roman"/>
          <w:shd w:val="clear" w:color="auto" w:fill="FFFFFF"/>
        </w:rPr>
        <w:t xml:space="preserve">reluctant to </w:t>
      </w:r>
      <w:r w:rsidRPr="009259AB">
        <w:rPr>
          <w:rFonts w:ascii="Times New Roman" w:eastAsia="Times New Roman" w:hAnsi="Times New Roman" w:cs="Times New Roman"/>
          <w:shd w:val="clear" w:color="auto" w:fill="FFFFFF"/>
        </w:rPr>
        <w:t xml:space="preserve">establish </w:t>
      </w:r>
      <w:r w:rsidR="007B4BA4" w:rsidRPr="009259AB">
        <w:rPr>
          <w:rFonts w:ascii="Times New Roman" w:eastAsia="Times New Roman" w:hAnsi="Times New Roman" w:cs="Times New Roman"/>
          <w:shd w:val="clear" w:color="auto" w:fill="FFFFFF"/>
        </w:rPr>
        <w:t>a single legally enforceable deadline by which such a response must occur</w:t>
      </w:r>
      <w:r w:rsidR="00DD2472" w:rsidRPr="009259AB">
        <w:rPr>
          <w:rFonts w:ascii="Times New Roman" w:eastAsia="Times New Roman" w:hAnsi="Times New Roman" w:cs="Times New Roman"/>
          <w:shd w:val="clear" w:color="auto" w:fill="FFFFFF"/>
        </w:rPr>
        <w:t xml:space="preserve"> – the diversity of rules and the potential scope of competing obligations on an agency both counsel allowing agencies to set a deadline.  </w:t>
      </w:r>
      <w:r w:rsidR="00B724E1" w:rsidRPr="009259AB">
        <w:rPr>
          <w:rFonts w:ascii="Times New Roman" w:eastAsia="Times New Roman" w:hAnsi="Times New Roman" w:cs="Times New Roman"/>
          <w:shd w:val="clear" w:color="auto" w:fill="FFFFFF"/>
        </w:rPr>
        <w:t xml:space="preserve">We note that Congress can – and </w:t>
      </w:r>
      <w:r w:rsidR="00415064">
        <w:rPr>
          <w:rFonts w:ascii="Times New Roman" w:eastAsia="Times New Roman" w:hAnsi="Times New Roman" w:cs="Times New Roman"/>
          <w:shd w:val="clear" w:color="auto" w:fill="FFFFFF"/>
        </w:rPr>
        <w:t xml:space="preserve">generally </w:t>
      </w:r>
      <w:r w:rsidR="00B724E1" w:rsidRPr="009259AB">
        <w:rPr>
          <w:rFonts w:ascii="Times New Roman" w:eastAsia="Times New Roman" w:hAnsi="Times New Roman" w:cs="Times New Roman"/>
          <w:shd w:val="clear" w:color="auto" w:fill="FFFFFF"/>
        </w:rPr>
        <w:t xml:space="preserve">should – set a deadline for the agency to “finalize” an interim final rule whenever it authorizes an agency to issue such a rule.  </w:t>
      </w:r>
      <w:r w:rsidR="00DD2472" w:rsidRPr="009259AB">
        <w:rPr>
          <w:rFonts w:ascii="Times New Roman" w:eastAsia="Times New Roman" w:hAnsi="Times New Roman" w:cs="Times New Roman"/>
          <w:shd w:val="clear" w:color="auto" w:fill="FFFFFF"/>
        </w:rPr>
        <w:t xml:space="preserve">We are also reluctant to establish such a draconian sanction.  </w:t>
      </w:r>
      <w:r w:rsidR="00DD2472" w:rsidRPr="009259AB">
        <w:rPr>
          <w:rFonts w:ascii="Times New Roman" w:eastAsia="Times New Roman" w:hAnsi="Times New Roman" w:cs="Times New Roman"/>
        </w:rPr>
        <w:t>The APA already contains an adequate remedy in Section 706(1).</w:t>
      </w:r>
      <w:r w:rsidR="00DD2472" w:rsidRPr="009259AB">
        <w:rPr>
          <w:rStyle w:val="FootnoteReference"/>
          <w:rFonts w:ascii="Times New Roman" w:eastAsia="Times New Roman" w:hAnsi="Times New Roman"/>
        </w:rPr>
        <w:footnoteReference w:id="32"/>
      </w:r>
    </w:p>
    <w:p w14:paraId="585CC276" w14:textId="77777777" w:rsidR="007B4BA4" w:rsidRPr="009259AB" w:rsidRDefault="007B4BA4" w:rsidP="007B4BA4">
      <w:pPr>
        <w:ind w:firstLine="585"/>
        <w:rPr>
          <w:rFonts w:ascii="Times New Roman" w:eastAsia="Times New Roman" w:hAnsi="Times New Roman" w:cs="Times New Roman"/>
          <w:shd w:val="clear" w:color="auto" w:fill="FFFFFF"/>
        </w:rPr>
      </w:pPr>
    </w:p>
    <w:p w14:paraId="5D12C294" w14:textId="7E735C10" w:rsidR="009B0186" w:rsidRDefault="00A472C2" w:rsidP="00686214">
      <w:pPr>
        <w:ind w:firstLine="585"/>
        <w:rPr>
          <w:rFonts w:ascii="Times New Roman" w:eastAsia="Times New Roman" w:hAnsi="Times New Roman" w:cs="Times New Roman"/>
        </w:rPr>
      </w:pPr>
      <w:r w:rsidRPr="009259AB">
        <w:rPr>
          <w:rFonts w:ascii="Times New Roman" w:eastAsia="Times New Roman" w:hAnsi="Times New Roman" w:cs="Times New Roman"/>
          <w:shd w:val="clear" w:color="auto" w:fill="FFFFFF"/>
        </w:rPr>
        <w:t xml:space="preserve">Therefore, without commenting on </w:t>
      </w:r>
      <w:r w:rsidR="009B0186">
        <w:rPr>
          <w:rFonts w:ascii="Times New Roman" w:eastAsia="Times New Roman" w:hAnsi="Times New Roman" w:cs="Times New Roman"/>
          <w:shd w:val="clear" w:color="auto" w:fill="FFFFFF"/>
        </w:rPr>
        <w:t xml:space="preserve">the extent to </w:t>
      </w:r>
      <w:r w:rsidRPr="009259AB">
        <w:rPr>
          <w:rFonts w:ascii="Times New Roman" w:eastAsia="Times New Roman" w:hAnsi="Times New Roman" w:cs="Times New Roman"/>
          <w:shd w:val="clear" w:color="auto" w:fill="FFFFFF"/>
        </w:rPr>
        <w:t>wh</w:t>
      </w:r>
      <w:r w:rsidR="009B0186">
        <w:rPr>
          <w:rFonts w:ascii="Times New Roman" w:eastAsia="Times New Roman" w:hAnsi="Times New Roman" w:cs="Times New Roman"/>
          <w:shd w:val="clear" w:color="auto" w:fill="FFFFFF"/>
        </w:rPr>
        <w:t>ich</w:t>
      </w:r>
      <w:r w:rsidRPr="009259AB">
        <w:rPr>
          <w:rFonts w:ascii="Times New Roman" w:eastAsia="Times New Roman" w:hAnsi="Times New Roman" w:cs="Times New Roman"/>
          <w:shd w:val="clear" w:color="auto" w:fill="FFFFFF"/>
        </w:rPr>
        <w:t xml:space="preserve"> </w:t>
      </w:r>
      <w:r w:rsidR="00435ACD">
        <w:rPr>
          <w:rFonts w:ascii="Times New Roman" w:eastAsia="Times New Roman" w:hAnsi="Times New Roman" w:cs="Times New Roman"/>
          <w:shd w:val="clear" w:color="auto" w:fill="FFFFFF"/>
        </w:rPr>
        <w:t>f</w:t>
      </w:r>
      <w:r w:rsidRPr="009259AB">
        <w:rPr>
          <w:rFonts w:ascii="Times New Roman" w:eastAsia="Times New Roman" w:hAnsi="Times New Roman" w:cs="Times New Roman"/>
          <w:shd w:val="clear" w:color="auto" w:fill="FFFFFF"/>
        </w:rPr>
        <w:t xml:space="preserve">ederal agencies are exercising the ‘good cause’ exemption appropriately, </w:t>
      </w:r>
      <w:r w:rsidR="00BF5B88" w:rsidRPr="009259AB">
        <w:rPr>
          <w:rFonts w:ascii="Times New Roman" w:eastAsia="Times New Roman" w:hAnsi="Times New Roman" w:cs="Times New Roman"/>
          <w:shd w:val="clear" w:color="auto" w:fill="FFFFFF"/>
        </w:rPr>
        <w:t>we</w:t>
      </w:r>
      <w:r w:rsidR="002B45A6" w:rsidRPr="009259AB">
        <w:rPr>
          <w:rFonts w:ascii="Times New Roman" w:eastAsia="Times New Roman" w:hAnsi="Times New Roman" w:cs="Times New Roman"/>
          <w:shd w:val="clear" w:color="auto" w:fill="FFFFFF"/>
        </w:rPr>
        <w:t xml:space="preserve"> recommend</w:t>
      </w:r>
      <w:r w:rsidRPr="009259AB">
        <w:rPr>
          <w:rFonts w:ascii="Times New Roman" w:eastAsia="Times New Roman" w:hAnsi="Times New Roman" w:cs="Times New Roman"/>
          <w:shd w:val="clear" w:color="auto" w:fill="FFFFFF"/>
        </w:rPr>
        <w:t xml:space="preserve"> that the APA be amended to</w:t>
      </w:r>
      <w:r w:rsidR="00415064">
        <w:rPr>
          <w:rFonts w:ascii="Times New Roman" w:eastAsia="Times New Roman" w:hAnsi="Times New Roman" w:cs="Times New Roman"/>
          <w:shd w:val="clear" w:color="auto" w:fill="FFFFFF"/>
        </w:rPr>
        <w:t xml:space="preserve"> r</w:t>
      </w:r>
      <w:r w:rsidR="00415064" w:rsidRPr="009259AB">
        <w:rPr>
          <w:rFonts w:ascii="Times New Roman" w:eastAsia="Times New Roman" w:hAnsi="Times New Roman" w:cs="Times New Roman"/>
        </w:rPr>
        <w:t>equire that</w:t>
      </w:r>
      <w:r w:rsidR="009B0186">
        <w:rPr>
          <w:rFonts w:ascii="Times New Roman" w:eastAsia="Times New Roman" w:hAnsi="Times New Roman" w:cs="Times New Roman"/>
        </w:rPr>
        <w:t>,</w:t>
      </w:r>
      <w:r w:rsidR="00415064" w:rsidRPr="009259AB">
        <w:rPr>
          <w:rFonts w:ascii="Times New Roman" w:eastAsia="Times New Roman" w:hAnsi="Times New Roman" w:cs="Times New Roman"/>
        </w:rPr>
        <w:t xml:space="preserve"> when an agency promulgates a final rule without notice and comment procedure on the basis that such procedure is impracticable or contrary to the public interest, it should invite the public to submit post-promulgation </w:t>
      </w:r>
      <w:r w:rsidR="00415064">
        <w:rPr>
          <w:rFonts w:ascii="Times New Roman" w:eastAsia="Times New Roman" w:hAnsi="Times New Roman" w:cs="Times New Roman"/>
        </w:rPr>
        <w:t>comments</w:t>
      </w:r>
      <w:r w:rsidR="00415064" w:rsidRPr="009259AB">
        <w:rPr>
          <w:rFonts w:ascii="Times New Roman" w:eastAsia="Times New Roman" w:hAnsi="Times New Roman" w:cs="Times New Roman"/>
        </w:rPr>
        <w:t> and should set a target date by which it expects to adopt a successor rule after consideration of the comments received</w:t>
      </w:r>
      <w:r w:rsidR="009B0186">
        <w:rPr>
          <w:rFonts w:ascii="Times New Roman" w:eastAsia="Times New Roman" w:hAnsi="Times New Roman" w:cs="Times New Roman"/>
        </w:rPr>
        <w:t xml:space="preserve">.  If </w:t>
      </w:r>
      <w:r w:rsidR="00415064" w:rsidRPr="009259AB">
        <w:rPr>
          <w:rFonts w:ascii="Times New Roman" w:eastAsia="Times New Roman" w:hAnsi="Times New Roman" w:cs="Times New Roman"/>
        </w:rPr>
        <w:t>the agency fails to replace the interim final rule with a successor rule by the target date, it should explain its failure to do so and set a new target date</w:t>
      </w:r>
      <w:r w:rsidR="009B0186">
        <w:rPr>
          <w:rFonts w:ascii="Times New Roman" w:eastAsia="Times New Roman" w:hAnsi="Times New Roman" w:cs="Times New Roman"/>
        </w:rPr>
        <w:t xml:space="preserve">.  The </w:t>
      </w:r>
      <w:r w:rsidR="00415064" w:rsidRPr="009259AB">
        <w:rPr>
          <w:rFonts w:ascii="Times New Roman" w:eastAsia="Times New Roman" w:hAnsi="Times New Roman" w:cs="Times New Roman"/>
        </w:rPr>
        <w:t>adequacy of the agency’s compliance with the foregoing obligation</w:t>
      </w:r>
      <w:r w:rsidR="00415064" w:rsidRPr="009259AB">
        <w:rPr>
          <w:rFonts w:ascii="Times New Roman" w:eastAsia="MingLiU" w:hAnsi="Times New Roman" w:cs="Times New Roman"/>
        </w:rPr>
        <w:t xml:space="preserve"> </w:t>
      </w:r>
      <w:r w:rsidR="00415064" w:rsidRPr="009259AB">
        <w:rPr>
          <w:rFonts w:ascii="Times New Roman" w:eastAsia="Times New Roman" w:hAnsi="Times New Roman" w:cs="Times New Roman"/>
        </w:rPr>
        <w:t>should not be subject to judicial review, but existing judicial remedies for undue delay in rulemaking should be unaffected</w:t>
      </w:r>
      <w:r w:rsidR="009B0186">
        <w:rPr>
          <w:rFonts w:ascii="Times New Roman" w:eastAsia="Times New Roman" w:hAnsi="Times New Roman" w:cs="Times New Roman"/>
        </w:rPr>
        <w:t>.</w:t>
      </w:r>
      <w:r w:rsidR="001B36DA">
        <w:rPr>
          <w:rStyle w:val="FootnoteReference"/>
          <w:rFonts w:ascii="Times New Roman" w:eastAsia="Times New Roman" w:hAnsi="Times New Roman"/>
        </w:rPr>
        <w:footnoteReference w:id="33"/>
      </w:r>
    </w:p>
    <w:p w14:paraId="589EDDA8" w14:textId="77777777" w:rsidR="009B0186" w:rsidRDefault="009B0186" w:rsidP="00686214">
      <w:pPr>
        <w:ind w:firstLine="585"/>
        <w:rPr>
          <w:rFonts w:ascii="Times New Roman" w:eastAsia="Times New Roman" w:hAnsi="Times New Roman" w:cs="Times New Roman"/>
        </w:rPr>
      </w:pPr>
    </w:p>
    <w:p w14:paraId="4D19F53D" w14:textId="5690F73B" w:rsidR="00415064" w:rsidRPr="009259AB" w:rsidRDefault="009B0186" w:rsidP="00686214">
      <w:pPr>
        <w:ind w:firstLine="585"/>
        <w:rPr>
          <w:rFonts w:ascii="Times New Roman" w:hAnsi="Times New Roman" w:cs="Times New Roman"/>
        </w:rPr>
      </w:pPr>
      <w:r>
        <w:rPr>
          <w:rFonts w:ascii="Times New Roman" w:eastAsia="Times New Roman" w:hAnsi="Times New Roman" w:cs="Times New Roman"/>
        </w:rPr>
        <w:t>T</w:t>
      </w:r>
      <w:r w:rsidR="00415064" w:rsidRPr="009259AB">
        <w:rPr>
          <w:rFonts w:ascii="Times New Roman" w:eastAsia="Times New Roman" w:hAnsi="Times New Roman" w:cs="Times New Roman"/>
        </w:rPr>
        <w:t>he preamble and rulemaking record accompanying the successor rule should support the lawfulness of the rule as a whole, rather than only the differences between the interim final rule and the successor rule.</w:t>
      </w:r>
      <w:r>
        <w:rPr>
          <w:rFonts w:ascii="Times New Roman" w:eastAsia="Times New Roman" w:hAnsi="Times New Roman" w:cs="Times New Roman"/>
        </w:rPr>
        <w:t xml:space="preserve">  This does not require an agency to restate the prior preamble in the subsequent one, but it does require the agency to discuss the information or reasoning supporting the original rulemaking insofar as it is relevant to the later one.</w:t>
      </w:r>
    </w:p>
    <w:p w14:paraId="15EF99EF" w14:textId="7BA20908" w:rsidR="00A472C2" w:rsidRPr="009259AB" w:rsidRDefault="00A472C2" w:rsidP="00A472C2">
      <w:pPr>
        <w:rPr>
          <w:rFonts w:ascii="Times New Roman" w:eastAsia="Times New Roman" w:hAnsi="Times New Roman" w:cs="Times New Roman"/>
          <w:b/>
        </w:rPr>
      </w:pPr>
      <w:r w:rsidRPr="009259AB">
        <w:rPr>
          <w:rFonts w:ascii="Times New Roman" w:eastAsia="Times New Roman" w:hAnsi="Times New Roman" w:cs="Times New Roman"/>
        </w:rPr>
        <w:br/>
      </w:r>
      <w:r w:rsidR="00B724E1" w:rsidRPr="009259AB">
        <w:rPr>
          <w:rFonts w:ascii="Times New Roman" w:eastAsia="Times New Roman" w:hAnsi="Times New Roman" w:cs="Times New Roman"/>
          <w:b/>
        </w:rPr>
        <w:t>X.</w:t>
      </w:r>
      <w:r w:rsidR="00B724E1" w:rsidRPr="009259AB">
        <w:rPr>
          <w:rFonts w:ascii="Times New Roman" w:eastAsia="Times New Roman" w:hAnsi="Times New Roman" w:cs="Times New Roman"/>
          <w:b/>
        </w:rPr>
        <w:tab/>
        <w:t>Encourage experimentation with “reply comment” processes</w:t>
      </w:r>
    </w:p>
    <w:p w14:paraId="30A68C1B" w14:textId="77777777" w:rsidR="00B724E1" w:rsidRPr="009259AB" w:rsidRDefault="00B724E1" w:rsidP="00A472C2">
      <w:pPr>
        <w:rPr>
          <w:rFonts w:ascii="Times New Roman" w:eastAsia="Times New Roman" w:hAnsi="Times New Roman" w:cs="Times New Roman"/>
        </w:rPr>
      </w:pPr>
    </w:p>
    <w:p w14:paraId="0A3F3ED5" w14:textId="0BEEC287" w:rsidR="00B724E1" w:rsidRPr="009259AB" w:rsidRDefault="005C5904" w:rsidP="00A472C2">
      <w:pPr>
        <w:rPr>
          <w:rFonts w:ascii="Times New Roman" w:eastAsia="Times New Roman" w:hAnsi="Times New Roman" w:cs="Times New Roman"/>
        </w:rPr>
      </w:pPr>
      <w:r w:rsidRPr="009259AB">
        <w:rPr>
          <w:rFonts w:ascii="Times New Roman" w:eastAsia="Times New Roman" w:hAnsi="Times New Roman" w:cs="Times New Roman"/>
        </w:rPr>
        <w:tab/>
        <w:t xml:space="preserve">ACUS has twice recommended that federal agencies </w:t>
      </w:r>
      <w:r w:rsidR="009D60D5" w:rsidRPr="009259AB">
        <w:rPr>
          <w:rFonts w:ascii="Times New Roman" w:eastAsia="Times New Roman" w:hAnsi="Times New Roman" w:cs="Times New Roman"/>
        </w:rPr>
        <w:t>employ “reply comment” processes, in which members of the public</w:t>
      </w:r>
      <w:r w:rsidR="00FB63B7" w:rsidRPr="009259AB">
        <w:rPr>
          <w:rFonts w:ascii="Times New Roman" w:eastAsia="Times New Roman" w:hAnsi="Times New Roman" w:cs="Times New Roman"/>
        </w:rPr>
        <w:t xml:space="preserve"> can react to comments that have been</w:t>
      </w:r>
      <w:r w:rsidR="009D60D5" w:rsidRPr="009259AB">
        <w:rPr>
          <w:rFonts w:ascii="Times New Roman" w:eastAsia="Times New Roman" w:hAnsi="Times New Roman" w:cs="Times New Roman"/>
        </w:rPr>
        <w:t xml:space="preserve"> filed earlier in a rulemaking.</w:t>
      </w:r>
      <w:r w:rsidR="009D60D5" w:rsidRPr="009259AB">
        <w:rPr>
          <w:rStyle w:val="FootnoteReference"/>
          <w:rFonts w:ascii="Times New Roman" w:eastAsia="Times New Roman" w:hAnsi="Times New Roman"/>
        </w:rPr>
        <w:footnoteReference w:id="34"/>
      </w:r>
      <w:r w:rsidR="009D60D5" w:rsidRPr="009259AB">
        <w:rPr>
          <w:rFonts w:ascii="Times New Roman" w:eastAsia="Times New Roman" w:hAnsi="Times New Roman" w:cs="Times New Roman"/>
        </w:rPr>
        <w:t xml:space="preserve">  Several agencies, most notably the Federal Communications Commission and the Federal Energy Regulatory Commission, have employed the practice routinely, and have indicated that </w:t>
      </w:r>
      <w:r w:rsidR="00217518" w:rsidRPr="009259AB">
        <w:rPr>
          <w:rFonts w:ascii="Times New Roman" w:eastAsia="Times New Roman" w:hAnsi="Times New Roman" w:cs="Times New Roman"/>
        </w:rPr>
        <w:t xml:space="preserve">the process is beneficial for two principal reasons: </w:t>
      </w:r>
      <w:r w:rsidR="00FB63B7" w:rsidRPr="009259AB">
        <w:rPr>
          <w:rFonts w:ascii="Times New Roman" w:eastAsia="Times New Roman" w:hAnsi="Times New Roman" w:cs="Times New Roman"/>
        </w:rPr>
        <w:t>it</w:t>
      </w:r>
      <w:r w:rsidR="00217518" w:rsidRPr="009259AB">
        <w:rPr>
          <w:rFonts w:ascii="Times New Roman" w:eastAsia="Times New Roman" w:hAnsi="Times New Roman" w:cs="Times New Roman"/>
        </w:rPr>
        <w:t xml:space="preserve"> result</w:t>
      </w:r>
      <w:r w:rsidR="00FB63B7" w:rsidRPr="009259AB">
        <w:rPr>
          <w:rFonts w:ascii="Times New Roman" w:eastAsia="Times New Roman" w:hAnsi="Times New Roman" w:cs="Times New Roman"/>
        </w:rPr>
        <w:t>s</w:t>
      </w:r>
      <w:r w:rsidR="00217518" w:rsidRPr="009259AB">
        <w:rPr>
          <w:rFonts w:ascii="Times New Roman" w:eastAsia="Times New Roman" w:hAnsi="Times New Roman" w:cs="Times New Roman"/>
        </w:rPr>
        <w:t xml:space="preserve"> in issues being narrowed to their most essential elements, and the prospect of being the subject of reply comments discourages commenters from making maximalist claims in their initial comments.</w:t>
      </w:r>
      <w:r w:rsidR="00217518" w:rsidRPr="009259AB">
        <w:rPr>
          <w:rStyle w:val="FootnoteReference"/>
          <w:rFonts w:ascii="Times New Roman" w:eastAsia="Times New Roman" w:hAnsi="Times New Roman"/>
        </w:rPr>
        <w:footnoteReference w:id="35"/>
      </w:r>
    </w:p>
    <w:p w14:paraId="375A1AAB" w14:textId="77777777" w:rsidR="00B724E1" w:rsidRPr="009259AB" w:rsidRDefault="00B724E1" w:rsidP="00A472C2">
      <w:pPr>
        <w:rPr>
          <w:rFonts w:ascii="Times New Roman" w:eastAsia="Times New Roman" w:hAnsi="Times New Roman" w:cs="Times New Roman"/>
        </w:rPr>
      </w:pPr>
    </w:p>
    <w:p w14:paraId="53969674" w14:textId="2A9FD430" w:rsidR="001B36DA" w:rsidRDefault="00217518" w:rsidP="00A472C2">
      <w:pPr>
        <w:rPr>
          <w:rFonts w:ascii="Times New Roman" w:eastAsia="Times New Roman" w:hAnsi="Times New Roman" w:cs="Times New Roman"/>
        </w:rPr>
      </w:pPr>
      <w:r w:rsidRPr="009259AB">
        <w:rPr>
          <w:rFonts w:ascii="Times New Roman" w:eastAsia="Times New Roman" w:hAnsi="Times New Roman" w:cs="Times New Roman"/>
        </w:rPr>
        <w:tab/>
        <w:t>The ABA does not believe that Congress should mandate use of reply comment periods</w:t>
      </w:r>
      <w:r w:rsidR="00FB63B7" w:rsidRPr="009259AB">
        <w:rPr>
          <w:rFonts w:ascii="Times New Roman" w:eastAsia="Times New Roman" w:hAnsi="Times New Roman" w:cs="Times New Roman"/>
        </w:rPr>
        <w:t xml:space="preserve"> at this stage</w:t>
      </w:r>
      <w:r w:rsidRPr="009259AB">
        <w:rPr>
          <w:rFonts w:ascii="Times New Roman" w:eastAsia="Times New Roman" w:hAnsi="Times New Roman" w:cs="Times New Roman"/>
        </w:rPr>
        <w:t xml:space="preserve">.  However, we do believe the practice can improve rulemaking and that all agencies should experiment with the process in a </w:t>
      </w:r>
      <w:r w:rsidR="00FB63B7" w:rsidRPr="009259AB">
        <w:rPr>
          <w:rFonts w:ascii="Times New Roman" w:eastAsia="Times New Roman" w:hAnsi="Times New Roman" w:cs="Times New Roman"/>
        </w:rPr>
        <w:t>way that is reasonably calculated to produce data regarding when and how it can be most beneficial.  Accordingly, the ABA urges</w:t>
      </w:r>
      <w:r w:rsidR="001B36DA">
        <w:rPr>
          <w:rFonts w:ascii="Times New Roman" w:eastAsia="Times New Roman" w:hAnsi="Times New Roman" w:cs="Times New Roman"/>
        </w:rPr>
        <w:t xml:space="preserve"> federal agencies to experiment with reply comment processes in their rulemakings. </w:t>
      </w:r>
      <w:r w:rsidR="005120FB">
        <w:rPr>
          <w:rFonts w:ascii="Times New Roman" w:eastAsia="Times New Roman" w:hAnsi="Times New Roman" w:cs="Times New Roman"/>
        </w:rPr>
        <w:t xml:space="preserve"> An agency could, for example, </w:t>
      </w:r>
      <w:r w:rsidR="005120FB" w:rsidRPr="00E22699">
        <w:rPr>
          <w:rFonts w:ascii="Times New Roman" w:hAnsi="Times New Roman" w:cs="Times New Roman"/>
        </w:rPr>
        <w:t>provid</w:t>
      </w:r>
      <w:r w:rsidR="005120FB">
        <w:rPr>
          <w:rFonts w:ascii="Times New Roman" w:hAnsi="Times New Roman" w:cs="Times New Roman"/>
        </w:rPr>
        <w:t>e</w:t>
      </w:r>
      <w:r w:rsidR="005120FB" w:rsidRPr="00E22699">
        <w:rPr>
          <w:rFonts w:ascii="Times New Roman" w:hAnsi="Times New Roman" w:cs="Times New Roman"/>
        </w:rPr>
        <w:t xml:space="preserve"> in advance </w:t>
      </w:r>
      <w:r w:rsidR="005120FB">
        <w:rPr>
          <w:rFonts w:ascii="Times New Roman" w:hAnsi="Times New Roman" w:cs="Times New Roman"/>
        </w:rPr>
        <w:t xml:space="preserve">that persons who file comments within the comment period on a proposed rule would be entitled, during a second </w:t>
      </w:r>
      <w:r w:rsidR="00521FE3">
        <w:rPr>
          <w:rFonts w:ascii="Times New Roman" w:hAnsi="Times New Roman" w:cs="Times New Roman"/>
        </w:rPr>
        <w:t>comment round</w:t>
      </w:r>
      <w:r w:rsidR="005120FB">
        <w:rPr>
          <w:rFonts w:ascii="Times New Roman" w:hAnsi="Times New Roman" w:cs="Times New Roman"/>
        </w:rPr>
        <w:t xml:space="preserve">, to file comments limited to responding to points made </w:t>
      </w:r>
      <w:r w:rsidR="00521FE3">
        <w:rPr>
          <w:rFonts w:ascii="Times New Roman" w:hAnsi="Times New Roman" w:cs="Times New Roman"/>
        </w:rPr>
        <w:t xml:space="preserve">by </w:t>
      </w:r>
      <w:r w:rsidR="005120FB">
        <w:rPr>
          <w:rFonts w:ascii="Times New Roman" w:hAnsi="Times New Roman" w:cs="Times New Roman"/>
        </w:rPr>
        <w:t>other comment</w:t>
      </w:r>
      <w:r w:rsidR="00521FE3">
        <w:rPr>
          <w:rFonts w:ascii="Times New Roman" w:hAnsi="Times New Roman" w:cs="Times New Roman"/>
        </w:rPr>
        <w:t>er</w:t>
      </w:r>
      <w:r w:rsidR="005120FB">
        <w:rPr>
          <w:rFonts w:ascii="Times New Roman" w:hAnsi="Times New Roman" w:cs="Times New Roman"/>
        </w:rPr>
        <w:t>s</w:t>
      </w:r>
      <w:r w:rsidR="00521FE3">
        <w:rPr>
          <w:rFonts w:ascii="Times New Roman" w:hAnsi="Times New Roman" w:cs="Times New Roman"/>
        </w:rPr>
        <w:t xml:space="preserve"> in the first round</w:t>
      </w:r>
      <w:r w:rsidR="005120FB">
        <w:rPr>
          <w:rFonts w:ascii="Times New Roman" w:hAnsi="Times New Roman" w:cs="Times New Roman"/>
        </w:rPr>
        <w:t xml:space="preserve">.  An agency could also determine, after the close of a comment period, that the record would benefit if the agency </w:t>
      </w:r>
      <w:r w:rsidR="005120FB" w:rsidRPr="00E22699">
        <w:rPr>
          <w:rFonts w:ascii="Times New Roman" w:hAnsi="Times New Roman" w:cs="Times New Roman"/>
        </w:rPr>
        <w:t>solicit</w:t>
      </w:r>
      <w:r w:rsidR="005120FB">
        <w:rPr>
          <w:rFonts w:ascii="Times New Roman" w:hAnsi="Times New Roman" w:cs="Times New Roman"/>
        </w:rPr>
        <w:t>ed</w:t>
      </w:r>
      <w:r w:rsidR="005120FB" w:rsidRPr="00E22699">
        <w:rPr>
          <w:rFonts w:ascii="Times New Roman" w:hAnsi="Times New Roman" w:cs="Times New Roman"/>
        </w:rPr>
        <w:t xml:space="preserve"> reply comments</w:t>
      </w:r>
      <w:r w:rsidR="005120FB">
        <w:rPr>
          <w:rFonts w:ascii="Times New Roman" w:hAnsi="Times New Roman" w:cs="Times New Roman"/>
        </w:rPr>
        <w:t xml:space="preserve"> by reopening the comment period </w:t>
      </w:r>
      <w:r w:rsidR="005120FB" w:rsidRPr="00E22699">
        <w:rPr>
          <w:rFonts w:ascii="Times New Roman" w:hAnsi="Times New Roman" w:cs="Times New Roman"/>
        </w:rPr>
        <w:t xml:space="preserve">for a specific </w:t>
      </w:r>
      <w:r w:rsidR="005120FB">
        <w:rPr>
          <w:rFonts w:ascii="Times New Roman" w:hAnsi="Times New Roman" w:cs="Times New Roman"/>
        </w:rPr>
        <w:t xml:space="preserve">time.  An agency might also </w:t>
      </w:r>
      <w:r w:rsidR="005120FB" w:rsidRPr="00E22699">
        <w:rPr>
          <w:rFonts w:ascii="Times New Roman" w:hAnsi="Times New Roman" w:cs="Times New Roman"/>
        </w:rPr>
        <w:t xml:space="preserve">permit a </w:t>
      </w:r>
      <w:r w:rsidR="00521FE3">
        <w:rPr>
          <w:rFonts w:ascii="Times New Roman" w:hAnsi="Times New Roman" w:cs="Times New Roman"/>
        </w:rPr>
        <w:t xml:space="preserve">commenter to file a </w:t>
      </w:r>
      <w:r w:rsidR="005120FB" w:rsidRPr="00E22699">
        <w:rPr>
          <w:rFonts w:ascii="Times New Roman" w:hAnsi="Times New Roman" w:cs="Times New Roman"/>
        </w:rPr>
        <w:t xml:space="preserve">reply </w:t>
      </w:r>
      <w:r w:rsidR="00521FE3">
        <w:rPr>
          <w:rFonts w:ascii="Times New Roman" w:hAnsi="Times New Roman" w:cs="Times New Roman"/>
        </w:rPr>
        <w:t xml:space="preserve">if the </w:t>
      </w:r>
      <w:r w:rsidR="005120FB" w:rsidRPr="00E22699">
        <w:rPr>
          <w:rFonts w:ascii="Times New Roman" w:hAnsi="Times New Roman" w:cs="Times New Roman"/>
        </w:rPr>
        <w:t>commenter demonstrate</w:t>
      </w:r>
      <w:r w:rsidR="00521FE3">
        <w:rPr>
          <w:rFonts w:ascii="Times New Roman" w:hAnsi="Times New Roman" w:cs="Times New Roman"/>
        </w:rPr>
        <w:t>d</w:t>
      </w:r>
      <w:r w:rsidR="005120FB" w:rsidRPr="00E22699">
        <w:rPr>
          <w:rFonts w:ascii="Times New Roman" w:hAnsi="Times New Roman" w:cs="Times New Roman"/>
        </w:rPr>
        <w:t xml:space="preserve"> a particular justification for that opportunity, such as a specific interest in responding to specified comments that were filed at or near the end of the regular comment period.</w:t>
      </w:r>
      <w:r w:rsidR="00521FE3">
        <w:rPr>
          <w:rFonts w:ascii="Times New Roman" w:hAnsi="Times New Roman" w:cs="Times New Roman"/>
        </w:rPr>
        <w:t xml:space="preserve">  Agencies should seek to gather information that would enable them to evaluate the merits or demerits of approaches that they try.</w:t>
      </w:r>
    </w:p>
    <w:p w14:paraId="2D423D51" w14:textId="77777777" w:rsidR="001B36DA" w:rsidRDefault="001B36DA" w:rsidP="00A472C2">
      <w:pPr>
        <w:rPr>
          <w:rFonts w:ascii="Times New Roman" w:eastAsia="Times New Roman" w:hAnsi="Times New Roman" w:cs="Times New Roman"/>
        </w:rPr>
      </w:pPr>
    </w:p>
    <w:p w14:paraId="7521F8B2" w14:textId="77777777" w:rsidR="006A23B5" w:rsidRPr="00332AAB" w:rsidRDefault="006A23B5" w:rsidP="006A23B5">
      <w:pPr>
        <w:rPr>
          <w:rFonts w:ascii="Times New Roman" w:hAnsi="Times New Roman" w:cs="Times New Roman"/>
        </w:rPr>
      </w:pPr>
      <w:r w:rsidRPr="00332AAB">
        <w:rPr>
          <w:rFonts w:ascii="Times New Roman" w:hAnsi="Times New Roman" w:cs="Times New Roman"/>
        </w:rPr>
        <w:t>Respectfully submitted,</w:t>
      </w:r>
    </w:p>
    <w:p w14:paraId="334EC3F8" w14:textId="77777777" w:rsidR="006A23B5" w:rsidRPr="00332AAB" w:rsidRDefault="006A23B5" w:rsidP="006A23B5">
      <w:pPr>
        <w:rPr>
          <w:rFonts w:ascii="Times New Roman" w:hAnsi="Times New Roman" w:cs="Times New Roman"/>
        </w:rPr>
      </w:pPr>
    </w:p>
    <w:p w14:paraId="6FC0CBF2" w14:textId="77777777" w:rsidR="006A23B5" w:rsidRPr="00332AAB" w:rsidRDefault="006A23B5" w:rsidP="006A23B5">
      <w:pPr>
        <w:rPr>
          <w:rFonts w:ascii="Times New Roman" w:hAnsi="Times New Roman" w:cs="Times New Roman"/>
        </w:rPr>
      </w:pPr>
    </w:p>
    <w:p w14:paraId="525CEE5C" w14:textId="73280ACD" w:rsidR="006A23B5" w:rsidRPr="00332AAB" w:rsidRDefault="006A23B5" w:rsidP="006A23B5">
      <w:pPr>
        <w:rPr>
          <w:rFonts w:ascii="Times New Roman" w:hAnsi="Times New Roman" w:cs="Times New Roman"/>
          <w:bCs/>
        </w:rPr>
      </w:pPr>
      <w:r w:rsidRPr="00332AAB">
        <w:rPr>
          <w:rFonts w:ascii="Times New Roman" w:hAnsi="Times New Roman" w:cs="Times New Roman"/>
          <w:bCs/>
        </w:rPr>
        <w:t>Jeff</w:t>
      </w:r>
      <w:r w:rsidR="006D4DA5">
        <w:rPr>
          <w:rFonts w:ascii="Times New Roman" w:hAnsi="Times New Roman" w:cs="Times New Roman"/>
          <w:bCs/>
        </w:rPr>
        <w:t>rey A.</w:t>
      </w:r>
      <w:r w:rsidRPr="00332AAB">
        <w:rPr>
          <w:rFonts w:ascii="Times New Roman" w:hAnsi="Times New Roman" w:cs="Times New Roman"/>
          <w:bCs/>
        </w:rPr>
        <w:t xml:space="preserve"> Rosen</w:t>
      </w:r>
      <w:r w:rsidRPr="00332AAB">
        <w:rPr>
          <w:rFonts w:ascii="Times New Roman" w:hAnsi="Times New Roman" w:cs="Times New Roman"/>
        </w:rPr>
        <w:t>, Chair</w:t>
      </w:r>
    </w:p>
    <w:p w14:paraId="52312B8B" w14:textId="77777777" w:rsidR="006A23B5" w:rsidRDefault="006A23B5" w:rsidP="006A23B5">
      <w:pPr>
        <w:rPr>
          <w:rFonts w:ascii="Times New Roman" w:hAnsi="Times New Roman" w:cs="Times New Roman"/>
        </w:rPr>
      </w:pPr>
      <w:r w:rsidRPr="00332AAB">
        <w:rPr>
          <w:rFonts w:ascii="Times New Roman" w:hAnsi="Times New Roman" w:cs="Times New Roman"/>
        </w:rPr>
        <w:t>Section of Administrative Law and Regulatory Practice</w:t>
      </w:r>
    </w:p>
    <w:p w14:paraId="394F113D" w14:textId="29551A84" w:rsidR="0059779C" w:rsidRPr="00332AAB" w:rsidRDefault="0059779C" w:rsidP="006A23B5">
      <w:pPr>
        <w:rPr>
          <w:rFonts w:ascii="Times New Roman" w:hAnsi="Times New Roman" w:cs="Times New Roman"/>
        </w:rPr>
      </w:pPr>
      <w:r>
        <w:rPr>
          <w:rFonts w:ascii="Times New Roman" w:hAnsi="Times New Roman" w:cs="Times New Roman"/>
        </w:rPr>
        <w:t>February 2016</w:t>
      </w:r>
    </w:p>
    <w:p w14:paraId="43605175" w14:textId="77777777" w:rsidR="006A23B5" w:rsidRPr="00332AAB" w:rsidRDefault="006A23B5" w:rsidP="006A23B5">
      <w:pPr>
        <w:ind w:firstLine="720"/>
        <w:rPr>
          <w:rFonts w:ascii="Times New Roman" w:hAnsi="Times New Roman" w:cs="Times New Roman"/>
        </w:rPr>
        <w:sectPr w:rsidR="006A23B5" w:rsidRPr="00332AAB" w:rsidSect="00A13D41">
          <w:headerReference w:type="even" r:id="rId16"/>
          <w:headerReference w:type="default" r:id="rId17"/>
          <w:footerReference w:type="default" r:id="rId18"/>
          <w:pgSz w:w="12240" w:h="15840" w:code="1"/>
          <w:pgMar w:top="1440" w:right="1800" w:bottom="1440" w:left="1800" w:header="720" w:footer="720" w:gutter="0"/>
          <w:pgNumType w:start="1"/>
          <w:cols w:space="720"/>
          <w:docGrid w:linePitch="360"/>
        </w:sectPr>
      </w:pPr>
    </w:p>
    <w:p w14:paraId="6121C6CD" w14:textId="77777777" w:rsidR="006A23B5" w:rsidRPr="006A23B5" w:rsidRDefault="006A23B5">
      <w:pPr>
        <w:rPr>
          <w:rFonts w:ascii="Times New Roman" w:hAnsi="Times New Roman" w:cs="Times New Roman"/>
        </w:rPr>
      </w:pPr>
    </w:p>
    <w:p w14:paraId="67D48362" w14:textId="77777777" w:rsidR="006A23B5" w:rsidRPr="00332AAB" w:rsidRDefault="006A23B5" w:rsidP="006A23B5">
      <w:pPr>
        <w:jc w:val="center"/>
        <w:rPr>
          <w:rFonts w:ascii="Times New Roman" w:hAnsi="Times New Roman" w:cs="Times New Roman"/>
          <w:b/>
          <w:u w:val="single"/>
        </w:rPr>
      </w:pPr>
      <w:r w:rsidRPr="00332AAB">
        <w:rPr>
          <w:rFonts w:ascii="Times New Roman" w:hAnsi="Times New Roman" w:cs="Times New Roman"/>
          <w:b/>
          <w:u w:val="single"/>
        </w:rPr>
        <w:t>GENERAL INFORMATION FORM</w:t>
      </w:r>
    </w:p>
    <w:p w14:paraId="5EC1296E" w14:textId="77777777" w:rsidR="006A23B5" w:rsidRPr="00332AAB" w:rsidRDefault="006A23B5" w:rsidP="006A23B5">
      <w:pPr>
        <w:jc w:val="center"/>
        <w:rPr>
          <w:rFonts w:ascii="Times New Roman" w:hAnsi="Times New Roman" w:cs="Times New Roman"/>
          <w:b/>
          <w:u w:val="single"/>
        </w:rPr>
      </w:pPr>
    </w:p>
    <w:p w14:paraId="335F5134" w14:textId="77777777" w:rsidR="006A23B5" w:rsidRPr="00332AAB"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r w:rsidRPr="00332AAB">
        <w:rPr>
          <w:rFonts w:ascii="Times New Roman" w:hAnsi="Times New Roman" w:cs="Times New Roman"/>
        </w:rPr>
        <w:t>Submitting Entity: Section of Administrative Law and Regulatory Practice</w:t>
      </w:r>
    </w:p>
    <w:p w14:paraId="6ABB1579" w14:textId="77777777" w:rsidR="006A23B5" w:rsidRPr="00332AAB"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2633BE24" w14:textId="7112FFB5" w:rsidR="006A23B5" w:rsidRPr="00332AAB"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r w:rsidRPr="00332AAB">
        <w:rPr>
          <w:rFonts w:ascii="Times New Roman" w:hAnsi="Times New Roman" w:cs="Times New Roman"/>
        </w:rPr>
        <w:t xml:space="preserve">Submitted By: </w:t>
      </w:r>
      <w:bookmarkStart w:id="4" w:name="Text7"/>
      <w:r w:rsidRPr="00332AAB">
        <w:rPr>
          <w:rFonts w:ascii="Times New Roman" w:hAnsi="Times New Roman" w:cs="Times New Roman"/>
        </w:rPr>
        <w:t>Jeff</w:t>
      </w:r>
      <w:r w:rsidR="004D1E1C">
        <w:rPr>
          <w:rFonts w:ascii="Times New Roman" w:hAnsi="Times New Roman" w:cs="Times New Roman"/>
        </w:rPr>
        <w:t>rey A.</w:t>
      </w:r>
      <w:r w:rsidRPr="00332AAB">
        <w:rPr>
          <w:rFonts w:ascii="Times New Roman" w:hAnsi="Times New Roman" w:cs="Times New Roman"/>
        </w:rPr>
        <w:t xml:space="preserve"> Rosen, Section Chair</w:t>
      </w:r>
      <w:bookmarkEnd w:id="4"/>
      <w:r w:rsidRPr="00332AAB">
        <w:rPr>
          <w:rFonts w:ascii="Times New Roman" w:hAnsi="Times New Roman" w:cs="Times New Roman"/>
        </w:rPr>
        <w:t xml:space="preserve"> </w:t>
      </w:r>
    </w:p>
    <w:p w14:paraId="2A12363C" w14:textId="77777777" w:rsidR="006A23B5" w:rsidRPr="00332AAB"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17B75665" w14:textId="77777777" w:rsidR="006A23B5" w:rsidRPr="00332AAB"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6F7A15D0" w14:textId="77777777" w:rsidR="006A23B5" w:rsidRPr="00332AAB" w:rsidRDefault="006A23B5" w:rsidP="006A23B5">
      <w:pPr>
        <w:widowControl w:val="0"/>
        <w:numPr>
          <w:ilvl w:val="0"/>
          <w:numId w:val="9"/>
        </w:numPr>
        <w:tabs>
          <w:tab w:val="clear" w:pos="720"/>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sidRPr="00332AAB">
        <w:rPr>
          <w:rFonts w:ascii="Times New Roman" w:hAnsi="Times New Roman" w:cs="Times New Roman"/>
          <w:u w:val="single"/>
        </w:rPr>
        <w:t>Summary of Resolution(s)</w:t>
      </w:r>
      <w:r w:rsidRPr="00332AAB">
        <w:rPr>
          <w:rFonts w:ascii="Times New Roman" w:hAnsi="Times New Roman" w:cs="Times New Roman"/>
        </w:rPr>
        <w:t>.</w:t>
      </w:r>
    </w:p>
    <w:p w14:paraId="39A3C473"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p>
    <w:p w14:paraId="2BDB64E5" w14:textId="4015F957" w:rsidR="00251F98" w:rsidRPr="00332AAB" w:rsidRDefault="006A23B5" w:rsidP="001B253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The resolution urges</w:t>
      </w:r>
      <w:r w:rsidR="001B36DA">
        <w:rPr>
          <w:rFonts w:ascii="Times New Roman" w:eastAsia="Times New Roman" w:hAnsi="Times New Roman" w:cs="Times New Roman"/>
        </w:rPr>
        <w:t xml:space="preserve"> </w:t>
      </w:r>
      <w:r w:rsidR="00FB63B7" w:rsidRPr="009259AB">
        <w:rPr>
          <w:rFonts w:ascii="Times New Roman" w:eastAsia="Times New Roman" w:hAnsi="Times New Roman" w:cs="Times New Roman"/>
        </w:rPr>
        <w:t xml:space="preserve">Congress to </w:t>
      </w:r>
      <w:r w:rsidRPr="00332AAB">
        <w:rPr>
          <w:rFonts w:ascii="Times New Roman" w:hAnsi="Times New Roman" w:cs="Times New Roman"/>
        </w:rPr>
        <w:t xml:space="preserve">modernize </w:t>
      </w:r>
      <w:r w:rsidR="00FB63B7" w:rsidRPr="009259AB">
        <w:rPr>
          <w:rFonts w:ascii="Times New Roman" w:eastAsia="Times New Roman" w:hAnsi="Times New Roman" w:cs="Times New Roman"/>
        </w:rPr>
        <w:t xml:space="preserve">the </w:t>
      </w:r>
      <w:r w:rsidRPr="00332AAB">
        <w:rPr>
          <w:rFonts w:ascii="Times New Roman" w:hAnsi="Times New Roman" w:cs="Times New Roman"/>
        </w:rPr>
        <w:t>rulemaking provisions of the Administrative Procedure Act</w:t>
      </w:r>
      <w:r w:rsidR="00E425F5">
        <w:rPr>
          <w:rFonts w:ascii="Times New Roman" w:hAnsi="Times New Roman" w:cs="Times New Roman"/>
        </w:rPr>
        <w:t>.</w:t>
      </w:r>
      <w:r w:rsidR="00251F98">
        <w:rPr>
          <w:rFonts w:ascii="Times New Roman" w:hAnsi="Times New Roman" w:cs="Times New Roman"/>
        </w:rPr>
        <w:t xml:space="preserve">  </w:t>
      </w:r>
      <w:r w:rsidR="00251F98" w:rsidRPr="00332AAB">
        <w:rPr>
          <w:rFonts w:ascii="Times New Roman" w:hAnsi="Times New Roman" w:cs="Times New Roman"/>
        </w:rPr>
        <w:t xml:space="preserve">he </w:t>
      </w:r>
      <w:r w:rsidR="00251F98">
        <w:rPr>
          <w:rFonts w:ascii="Times New Roman" w:hAnsi="Times New Roman" w:cs="Times New Roman"/>
        </w:rPr>
        <w:t>APA</w:t>
      </w:r>
      <w:r w:rsidR="00251F98" w:rsidRPr="00332AAB">
        <w:rPr>
          <w:rFonts w:ascii="Times New Roman" w:hAnsi="Times New Roman" w:cs="Times New Roman"/>
        </w:rPr>
        <w:t xml:space="preserve"> has grown outdated in a number of respects</w:t>
      </w:r>
      <w:r w:rsidR="00251F98">
        <w:rPr>
          <w:rFonts w:ascii="Times New Roman" w:hAnsi="Times New Roman" w:cs="Times New Roman"/>
        </w:rPr>
        <w:t xml:space="preserve"> as agency practice, technology, and judicial doctrine have evolved</w:t>
      </w:r>
      <w:r w:rsidR="00251F98" w:rsidRPr="00332AAB">
        <w:rPr>
          <w:rFonts w:ascii="Times New Roman" w:hAnsi="Times New Roman" w:cs="Times New Roman"/>
        </w:rPr>
        <w:t xml:space="preserve">.  Congress has entertained a broad variety of proposed reforms to the Act, most of which have proven highly controversial.  The resolution proposes reforms to modernize the Act that are widely supported within </w:t>
      </w:r>
      <w:r w:rsidR="00E425F5">
        <w:rPr>
          <w:rFonts w:ascii="Times New Roman" w:hAnsi="Times New Roman" w:cs="Times New Roman"/>
        </w:rPr>
        <w:t xml:space="preserve">(and outside of) </w:t>
      </w:r>
      <w:r w:rsidR="00251F98" w:rsidRPr="00332AAB">
        <w:rPr>
          <w:rFonts w:ascii="Times New Roman" w:hAnsi="Times New Roman" w:cs="Times New Roman"/>
        </w:rPr>
        <w:t xml:space="preserve">the Section of Administrative Law </w:t>
      </w:r>
      <w:r w:rsidR="000373D5">
        <w:rPr>
          <w:rFonts w:ascii="Times New Roman" w:hAnsi="Times New Roman" w:cs="Times New Roman"/>
        </w:rPr>
        <w:t>and</w:t>
      </w:r>
      <w:r w:rsidR="00251F98" w:rsidRPr="00332AAB">
        <w:rPr>
          <w:rFonts w:ascii="Times New Roman" w:hAnsi="Times New Roman" w:cs="Times New Roman"/>
        </w:rPr>
        <w:t xml:space="preserve"> Regulatory Practice.</w:t>
      </w:r>
      <w:r w:rsidR="00251F98">
        <w:rPr>
          <w:rFonts w:ascii="Times New Roman" w:hAnsi="Times New Roman" w:cs="Times New Roman"/>
        </w:rPr>
        <w:t xml:space="preserve">  These reforms are intended to help enhance public participation in the rulemaking process and to provide clearer </w:t>
      </w:r>
      <w:r w:rsidR="00E425F5">
        <w:rPr>
          <w:rFonts w:ascii="Times New Roman" w:hAnsi="Times New Roman" w:cs="Times New Roman"/>
        </w:rPr>
        <w:t>direction</w:t>
      </w:r>
      <w:r w:rsidR="00251F98">
        <w:rPr>
          <w:rFonts w:ascii="Times New Roman" w:hAnsi="Times New Roman" w:cs="Times New Roman"/>
        </w:rPr>
        <w:t xml:space="preserve"> to agencies.</w:t>
      </w:r>
      <w:r w:rsidR="00E425F5">
        <w:rPr>
          <w:rFonts w:ascii="Times New Roman" w:hAnsi="Times New Roman" w:cs="Times New Roman"/>
        </w:rPr>
        <w:t xml:space="preserve">  Some codify case law or executive order and many of them build on prior recommendations of the ABA or Administrative Conference of the United States.  </w:t>
      </w:r>
    </w:p>
    <w:p w14:paraId="336459F2" w14:textId="77777777" w:rsidR="00251F98" w:rsidRDefault="00251F98"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47AE5579" w14:textId="77777777" w:rsidR="00251F98" w:rsidRDefault="00251F98" w:rsidP="001B2538">
      <w:pPr>
        <w:ind w:left="450"/>
        <w:rPr>
          <w:rFonts w:ascii="Times New Roman" w:eastAsia="Times New Roman" w:hAnsi="Times New Roman" w:cs="Times New Roman"/>
        </w:rPr>
      </w:pPr>
      <w:r w:rsidRPr="00332AAB">
        <w:rPr>
          <w:rFonts w:ascii="Times New Roman" w:hAnsi="Times New Roman" w:cs="Times New Roman"/>
        </w:rPr>
        <w:t>The resolution urges Congress to amend the Administrative Procedure Act to: 1) codify the requirement that an agency fully disclose data and other information used in rulemaking; 2) codify the requirement that agencies develop a rulemaking record</w:t>
      </w:r>
      <w:r>
        <w:rPr>
          <w:rFonts w:ascii="Times New Roman" w:hAnsi="Times New Roman" w:cs="Times New Roman"/>
        </w:rPr>
        <w:t xml:space="preserve"> and a public docket for each rulemaking</w:t>
      </w:r>
      <w:r w:rsidRPr="00332AAB">
        <w:rPr>
          <w:rFonts w:ascii="Times New Roman" w:hAnsi="Times New Roman" w:cs="Times New Roman"/>
        </w:rPr>
        <w:t>; 3) establish a minimum comment period of 60 days for “major” rules, subject to an exemption for good cause; 4)</w:t>
      </w:r>
      <w:r>
        <w:rPr>
          <w:rFonts w:ascii="Times New Roman" w:hAnsi="Times New Roman" w:cs="Times New Roman"/>
        </w:rPr>
        <w:t xml:space="preserve"> tighten and</w:t>
      </w:r>
      <w:r w:rsidRPr="00332AAB">
        <w:rPr>
          <w:rFonts w:ascii="Times New Roman" w:hAnsi="Times New Roman" w:cs="Times New Roman"/>
        </w:rPr>
        <w:t xml:space="preserve"> clarify several outdated definitions; 5) authorize new presidential administrations to delay the effective date of rules finalized at the end of the prior administration; 6) promote retrospective review of major rules; 7) codify some provisions of the Unified Regulatory Agenda; 8) repeal or narrow several outdated exemptions from the notice-and-comment process; and 9) require agencies to seek post-promulgation </w:t>
      </w:r>
      <w:r w:rsidRPr="009259AB">
        <w:rPr>
          <w:rFonts w:ascii="Times New Roman" w:eastAsia="Times New Roman" w:hAnsi="Times New Roman" w:cs="Times New Roman"/>
        </w:rPr>
        <w:t>comments</w:t>
      </w:r>
      <w:r w:rsidRPr="00332AAB">
        <w:rPr>
          <w:rFonts w:ascii="Times New Roman" w:hAnsi="Times New Roman" w:cs="Times New Roman"/>
        </w:rPr>
        <w:t> on some rules issued without notice and comment.  The resolution also encourages</w:t>
      </w:r>
      <w:r w:rsidRPr="009259AB">
        <w:rPr>
          <w:rFonts w:ascii="Times New Roman" w:eastAsia="Times New Roman" w:hAnsi="Times New Roman" w:cs="Times New Roman"/>
        </w:rPr>
        <w:t xml:space="preserve"> agencies to experiment with </w:t>
      </w:r>
      <w:r w:rsidRPr="00332AAB">
        <w:rPr>
          <w:rFonts w:ascii="Times New Roman" w:hAnsi="Times New Roman" w:cs="Times New Roman"/>
        </w:rPr>
        <w:t>“reply comment” processes</w:t>
      </w:r>
      <w:r w:rsidRPr="009259AB">
        <w:rPr>
          <w:rFonts w:ascii="Times New Roman" w:eastAsia="Times New Roman" w:hAnsi="Times New Roman" w:cs="Times New Roman"/>
        </w:rPr>
        <w:t>.</w:t>
      </w:r>
    </w:p>
    <w:p w14:paraId="6823FD03" w14:textId="77777777" w:rsidR="00251F98" w:rsidRPr="00332AAB" w:rsidRDefault="00251F98"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36155446" w14:textId="77777777" w:rsidR="006A23B5" w:rsidRPr="00332AAB" w:rsidRDefault="006A23B5" w:rsidP="006A23B5">
      <w:pPr>
        <w:widowControl w:val="0"/>
        <w:numPr>
          <w:ilvl w:val="0"/>
          <w:numId w:val="9"/>
        </w:numPr>
        <w:tabs>
          <w:tab w:val="clear" w:pos="720"/>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sidRPr="00332AAB">
        <w:rPr>
          <w:rFonts w:ascii="Times New Roman" w:hAnsi="Times New Roman" w:cs="Times New Roman"/>
          <w:u w:val="single"/>
        </w:rPr>
        <w:t>Approval by Submitting Entity</w:t>
      </w:r>
      <w:r w:rsidRPr="00332AAB">
        <w:rPr>
          <w:rFonts w:ascii="Times New Roman" w:hAnsi="Times New Roman" w:cs="Times New Roman"/>
        </w:rPr>
        <w:t xml:space="preserve">. </w:t>
      </w:r>
    </w:p>
    <w:p w14:paraId="6B4EC430"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p>
    <w:p w14:paraId="47C95F92"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 xml:space="preserve">The Council of the Section of Administrative Law and Regulatory Practice voted to approve the resolution on November </w:t>
      </w:r>
      <w:r w:rsidRPr="00457D61">
        <w:rPr>
          <w:rFonts w:ascii="Times New Roman" w:hAnsi="Times New Roman" w:cs="Times New Roman"/>
        </w:rPr>
        <w:t>18</w:t>
      </w:r>
      <w:r w:rsidRPr="005D399E">
        <w:rPr>
          <w:rFonts w:ascii="Times New Roman" w:hAnsi="Times New Roman" w:cs="Times New Roman"/>
        </w:rPr>
        <w:t>,</w:t>
      </w:r>
      <w:r w:rsidRPr="00332AAB">
        <w:rPr>
          <w:rFonts w:ascii="Times New Roman" w:hAnsi="Times New Roman" w:cs="Times New Roman"/>
        </w:rPr>
        <w:t xml:space="preserve"> 2015.</w:t>
      </w:r>
    </w:p>
    <w:p w14:paraId="136440E1" w14:textId="77777777" w:rsidR="006A23B5" w:rsidRPr="00332AAB"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0819AD3E" w14:textId="77777777" w:rsidR="006A23B5" w:rsidRPr="00332AAB" w:rsidRDefault="006A23B5" w:rsidP="006A23B5">
      <w:pPr>
        <w:widowControl w:val="0"/>
        <w:numPr>
          <w:ilvl w:val="0"/>
          <w:numId w:val="9"/>
        </w:numPr>
        <w:tabs>
          <w:tab w:val="clear" w:pos="720"/>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sidRPr="00332AAB">
        <w:rPr>
          <w:rFonts w:ascii="Times New Roman" w:hAnsi="Times New Roman" w:cs="Times New Roman"/>
          <w:u w:val="single"/>
        </w:rPr>
        <w:t>Has this or a similar resolution been submitted to the House or Board previously</w:t>
      </w:r>
      <w:r w:rsidRPr="00332AAB">
        <w:rPr>
          <w:rFonts w:ascii="Times New Roman" w:hAnsi="Times New Roman" w:cs="Times New Roman"/>
        </w:rPr>
        <w:t xml:space="preserve">? </w:t>
      </w:r>
    </w:p>
    <w:p w14:paraId="5C17CB29"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u w:val="single"/>
        </w:rPr>
      </w:pPr>
    </w:p>
    <w:p w14:paraId="17D9C11C"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No.</w:t>
      </w:r>
    </w:p>
    <w:p w14:paraId="17D20127" w14:textId="77777777" w:rsidR="006A23B5"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7AEF4FED" w14:textId="77777777" w:rsidR="0059779C" w:rsidRDefault="0059779C"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49DA25FE" w14:textId="77777777" w:rsidR="0059779C" w:rsidRDefault="0059779C"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50F05485" w14:textId="77777777" w:rsidR="0059779C" w:rsidRDefault="0059779C"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2EE74497" w14:textId="77777777" w:rsidR="0059779C" w:rsidRPr="00332AAB" w:rsidRDefault="0059779C"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6E82EE8F" w14:textId="40E70D20" w:rsidR="006A23B5" w:rsidRPr="00332AAB" w:rsidRDefault="006A23B5" w:rsidP="006A23B5">
      <w:pPr>
        <w:widowControl w:val="0"/>
        <w:numPr>
          <w:ilvl w:val="0"/>
          <w:numId w:val="9"/>
        </w:numPr>
        <w:tabs>
          <w:tab w:val="clear" w:pos="720"/>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hanging="450"/>
        <w:rPr>
          <w:rFonts w:ascii="Times New Roman" w:hAnsi="Times New Roman" w:cs="Times New Roman"/>
        </w:rPr>
      </w:pPr>
      <w:r w:rsidRPr="00332AAB">
        <w:rPr>
          <w:rFonts w:ascii="Times New Roman" w:hAnsi="Times New Roman" w:cs="Times New Roman"/>
          <w:u w:val="single"/>
        </w:rPr>
        <w:t>What existing Association policies are relevant to this Resolution and how would they be affected by its adoption</w:t>
      </w:r>
      <w:r w:rsidRPr="00332AAB">
        <w:rPr>
          <w:rFonts w:ascii="Times New Roman" w:hAnsi="Times New Roman" w:cs="Times New Roman"/>
        </w:rPr>
        <w:t xml:space="preserve">? </w:t>
      </w:r>
    </w:p>
    <w:p w14:paraId="3006E966" w14:textId="77777777" w:rsidR="006A23B5"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u w:val="single"/>
        </w:rPr>
      </w:pPr>
    </w:p>
    <w:p w14:paraId="744F16FE" w14:textId="7734251F" w:rsidR="005D399E" w:rsidRPr="005D399E" w:rsidRDefault="005D399E"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u w:val="single"/>
        </w:rPr>
      </w:pPr>
      <w:r w:rsidRPr="001B2538">
        <w:rPr>
          <w:rFonts w:ascii="Times New Roman" w:hAnsi="Times New Roman" w:cs="Times New Roman"/>
        </w:rPr>
        <w:t>The resolution would reaffirm multiple aspects of several long-standing ABA policies, particularly</w:t>
      </w:r>
      <w:r>
        <w:rPr>
          <w:rFonts w:ascii="Times New Roman" w:hAnsi="Times New Roman" w:cs="Times New Roman"/>
          <w:u w:val="single"/>
        </w:rPr>
        <w:t xml:space="preserve"> </w:t>
      </w:r>
      <w:r w:rsidRPr="00457D61">
        <w:rPr>
          <w:rFonts w:ascii="Times New Roman" w:hAnsi="Times New Roman" w:cs="Times New Roman"/>
        </w:rPr>
        <w:t xml:space="preserve">106 ABA </w:t>
      </w:r>
      <w:r w:rsidRPr="00457D61">
        <w:rPr>
          <w:rFonts w:ascii="Times New Roman" w:hAnsi="Times New Roman" w:cs="Times New Roman"/>
          <w:smallCaps/>
        </w:rPr>
        <w:t>Ann. Rep</w:t>
      </w:r>
      <w:r w:rsidRPr="00457D61">
        <w:rPr>
          <w:rFonts w:ascii="Times New Roman" w:hAnsi="Times New Roman" w:cs="Times New Roman"/>
        </w:rPr>
        <w:t>. 549, 785 (1981)</w:t>
      </w:r>
      <w:r>
        <w:rPr>
          <w:rFonts w:ascii="Times New Roman" w:hAnsi="Times New Roman" w:cs="Times New Roman"/>
        </w:rPr>
        <w:t xml:space="preserve">.  </w:t>
      </w:r>
      <w:r w:rsidRPr="00457D61">
        <w:rPr>
          <w:rFonts w:ascii="Times New Roman" w:hAnsi="Times New Roman" w:cs="Times New Roman"/>
          <w:i/>
        </w:rPr>
        <w:t>See also</w:t>
      </w:r>
      <w:r>
        <w:rPr>
          <w:rFonts w:ascii="Times New Roman" w:hAnsi="Times New Roman" w:cs="Times New Roman"/>
        </w:rPr>
        <w:t xml:space="preserve"> </w:t>
      </w:r>
      <w:r w:rsidRPr="00457D61">
        <w:rPr>
          <w:rFonts w:ascii="Times New Roman" w:hAnsi="Times New Roman" w:cs="Times New Roman"/>
          <w:i/>
        </w:rPr>
        <w:t>The 12 ABA Recommendations for Improved Procedures for Federal Agencies</w:t>
      </w:r>
      <w:r w:rsidRPr="00457D61">
        <w:rPr>
          <w:rFonts w:ascii="Times New Roman" w:hAnsi="Times New Roman" w:cs="Times New Roman"/>
        </w:rPr>
        <w:t xml:space="preserve">, 24 </w:t>
      </w:r>
      <w:r w:rsidRPr="00457D61">
        <w:rPr>
          <w:rFonts w:ascii="Times New Roman" w:hAnsi="Times New Roman" w:cs="Times New Roman"/>
          <w:smallCaps/>
        </w:rPr>
        <w:t>Admin. L. Rev</w:t>
      </w:r>
      <w:r w:rsidRPr="00457D61">
        <w:rPr>
          <w:rFonts w:ascii="Times New Roman" w:hAnsi="Times New Roman" w:cs="Times New Roman"/>
        </w:rPr>
        <w:t>. 389, 389-91 (1972)</w:t>
      </w:r>
      <w:r w:rsidRPr="005D399E">
        <w:rPr>
          <w:rFonts w:ascii="Times New Roman" w:hAnsi="Times New Roman" w:cs="Times New Roman"/>
        </w:rPr>
        <w:t>.</w:t>
      </w:r>
      <w:r w:rsidR="00251F98">
        <w:rPr>
          <w:rFonts w:ascii="Times New Roman" w:hAnsi="Times New Roman" w:cs="Times New Roman"/>
        </w:rPr>
        <w:t xml:space="preserve">  This resolution does not conflict with existing ABA policies.</w:t>
      </w:r>
    </w:p>
    <w:p w14:paraId="450B4EB6" w14:textId="77777777" w:rsidR="006A23B5" w:rsidRPr="00332AAB"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5DD78072" w14:textId="77777777" w:rsidR="006A23B5" w:rsidRPr="00332AAB" w:rsidRDefault="006A23B5" w:rsidP="006A23B5">
      <w:pPr>
        <w:widowControl w:val="0"/>
        <w:numPr>
          <w:ilvl w:val="0"/>
          <w:numId w:val="9"/>
        </w:numPr>
        <w:tabs>
          <w:tab w:val="clear" w:pos="720"/>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hanging="450"/>
        <w:rPr>
          <w:rFonts w:ascii="Times New Roman" w:hAnsi="Times New Roman" w:cs="Times New Roman"/>
        </w:rPr>
      </w:pPr>
      <w:r w:rsidRPr="00332AAB">
        <w:rPr>
          <w:rFonts w:ascii="Times New Roman" w:hAnsi="Times New Roman" w:cs="Times New Roman"/>
          <w:u w:val="single"/>
        </w:rPr>
        <w:t>If this is a late report, what urgency exists which requires action at this meeting of the House</w:t>
      </w:r>
      <w:r w:rsidRPr="00332AAB">
        <w:rPr>
          <w:rFonts w:ascii="Times New Roman" w:hAnsi="Times New Roman" w:cs="Times New Roman"/>
        </w:rPr>
        <w:t xml:space="preserve">? </w:t>
      </w:r>
    </w:p>
    <w:p w14:paraId="2F677792"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u w:val="single"/>
        </w:rPr>
      </w:pPr>
    </w:p>
    <w:p w14:paraId="2F62F3EE" w14:textId="77777777" w:rsidR="006A23B5" w:rsidRPr="00332AAB"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50"/>
        <w:rPr>
          <w:rFonts w:ascii="Times New Roman" w:hAnsi="Times New Roman" w:cs="Times New Roman"/>
        </w:rPr>
      </w:pPr>
      <w:r w:rsidRPr="00332AAB">
        <w:rPr>
          <w:rFonts w:ascii="Times New Roman" w:hAnsi="Times New Roman" w:cs="Times New Roman"/>
        </w:rPr>
        <w:t>N/A</w:t>
      </w:r>
    </w:p>
    <w:p w14:paraId="0234CDC7" w14:textId="77777777" w:rsidR="006A23B5" w:rsidRPr="00332AAB"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3EC6F661" w14:textId="77777777" w:rsidR="006A23B5" w:rsidRPr="00332AAB" w:rsidRDefault="006A23B5" w:rsidP="006A23B5">
      <w:pPr>
        <w:widowControl w:val="0"/>
        <w:numPr>
          <w:ilvl w:val="0"/>
          <w:numId w:val="9"/>
        </w:numPr>
        <w:tabs>
          <w:tab w:val="clear" w:pos="720"/>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sidRPr="00332AAB">
        <w:rPr>
          <w:rFonts w:ascii="Times New Roman" w:hAnsi="Times New Roman" w:cs="Times New Roman"/>
          <w:u w:val="single"/>
        </w:rPr>
        <w:t>Status of Legislation</w:t>
      </w:r>
      <w:r w:rsidRPr="00332AAB">
        <w:rPr>
          <w:rFonts w:ascii="Times New Roman" w:hAnsi="Times New Roman" w:cs="Times New Roman"/>
        </w:rPr>
        <w:t xml:space="preserve">.  (If applicable) </w:t>
      </w:r>
      <w:bookmarkStart w:id="5" w:name="Text13"/>
    </w:p>
    <w:p w14:paraId="71E6ABB9"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p>
    <w:p w14:paraId="3956C9CD"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N/A</w:t>
      </w:r>
      <w:bookmarkEnd w:id="5"/>
    </w:p>
    <w:p w14:paraId="51887F09"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p>
    <w:p w14:paraId="7C7E53A2" w14:textId="77777777" w:rsidR="006A23B5" w:rsidRPr="00332AAB" w:rsidRDefault="006A23B5" w:rsidP="006A23B5">
      <w:pPr>
        <w:widowControl w:val="0"/>
        <w:numPr>
          <w:ilvl w:val="0"/>
          <w:numId w:val="9"/>
        </w:numPr>
        <w:tabs>
          <w:tab w:val="clear" w:pos="720"/>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hanging="450"/>
        <w:rPr>
          <w:rFonts w:ascii="Times New Roman" w:hAnsi="Times New Roman" w:cs="Times New Roman"/>
          <w:u w:val="single"/>
        </w:rPr>
      </w:pPr>
      <w:r w:rsidRPr="00332AAB">
        <w:rPr>
          <w:rFonts w:ascii="Times New Roman" w:hAnsi="Times New Roman" w:cs="Times New Roman"/>
          <w:u w:val="single"/>
        </w:rPr>
        <w:t>Brief explanation regarding plans for implementation of the policy, if adopted by the House of Delegates.</w:t>
      </w:r>
      <w:r w:rsidRPr="00332AAB">
        <w:rPr>
          <w:rFonts w:ascii="Times New Roman" w:hAnsi="Times New Roman" w:cs="Times New Roman"/>
        </w:rPr>
        <w:t xml:space="preserve"> </w:t>
      </w:r>
    </w:p>
    <w:p w14:paraId="155B661D"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p>
    <w:p w14:paraId="6E692E8A"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u w:val="single"/>
        </w:rPr>
      </w:pPr>
      <w:r w:rsidRPr="00332AAB">
        <w:rPr>
          <w:rFonts w:ascii="Times New Roman" w:hAnsi="Times New Roman" w:cs="Times New Roman"/>
        </w:rPr>
        <w:t>Policy could be implemented by legislative action.</w:t>
      </w:r>
    </w:p>
    <w:p w14:paraId="542B5353" w14:textId="77777777" w:rsidR="006A23B5" w:rsidRPr="00332AAB"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u w:val="single"/>
        </w:rPr>
      </w:pPr>
    </w:p>
    <w:p w14:paraId="1D288646" w14:textId="77777777" w:rsidR="006A23B5" w:rsidRPr="00332AAB" w:rsidRDefault="006A23B5" w:rsidP="006A23B5">
      <w:pPr>
        <w:widowControl w:val="0"/>
        <w:numPr>
          <w:ilvl w:val="0"/>
          <w:numId w:val="9"/>
        </w:numPr>
        <w:tabs>
          <w:tab w:val="clear" w:pos="720"/>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sidRPr="00332AAB">
        <w:rPr>
          <w:rFonts w:ascii="Times New Roman" w:hAnsi="Times New Roman" w:cs="Times New Roman"/>
          <w:u w:val="single"/>
        </w:rPr>
        <w:t>Cost to the Association</w:t>
      </w:r>
      <w:r w:rsidRPr="00332AAB">
        <w:rPr>
          <w:rFonts w:ascii="Times New Roman" w:hAnsi="Times New Roman" w:cs="Times New Roman"/>
        </w:rPr>
        <w:t xml:space="preserve">.  (Both direct and indirect costs) </w:t>
      </w:r>
    </w:p>
    <w:p w14:paraId="270FE521" w14:textId="77777777" w:rsidR="00A77FB8" w:rsidRDefault="00A77FB8"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p>
    <w:p w14:paraId="36B3ED38"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None.</w:t>
      </w:r>
    </w:p>
    <w:p w14:paraId="2FA04341"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p>
    <w:p w14:paraId="7CFDACDB" w14:textId="77777777" w:rsidR="006A23B5" w:rsidRPr="00332AAB" w:rsidRDefault="006A23B5" w:rsidP="006A23B5">
      <w:pPr>
        <w:widowControl w:val="0"/>
        <w:numPr>
          <w:ilvl w:val="0"/>
          <w:numId w:val="9"/>
        </w:numPr>
        <w:tabs>
          <w:tab w:val="clear" w:pos="720"/>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sidRPr="00332AAB">
        <w:rPr>
          <w:rFonts w:ascii="Times New Roman" w:hAnsi="Times New Roman" w:cs="Times New Roman"/>
          <w:u w:val="single"/>
        </w:rPr>
        <w:t>Disclosure of Interest</w:t>
      </w:r>
      <w:r w:rsidRPr="00332AAB">
        <w:rPr>
          <w:rFonts w:ascii="Times New Roman" w:hAnsi="Times New Roman" w:cs="Times New Roman"/>
        </w:rPr>
        <w:t xml:space="preserve">.  (If applicable) </w:t>
      </w:r>
    </w:p>
    <w:p w14:paraId="3B556407" w14:textId="77777777" w:rsidR="00251F98" w:rsidRDefault="00251F98"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50"/>
        <w:rPr>
          <w:rFonts w:ascii="Times New Roman" w:hAnsi="Times New Roman" w:cs="Times New Roman"/>
        </w:rPr>
      </w:pPr>
    </w:p>
    <w:p w14:paraId="2ADD5195" w14:textId="77777777" w:rsidR="006A23B5" w:rsidRPr="00332AAB"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50"/>
        <w:rPr>
          <w:rFonts w:ascii="Times New Roman" w:hAnsi="Times New Roman" w:cs="Times New Roman"/>
        </w:rPr>
      </w:pPr>
      <w:r w:rsidRPr="00332AAB">
        <w:rPr>
          <w:rFonts w:ascii="Times New Roman" w:hAnsi="Times New Roman" w:cs="Times New Roman"/>
        </w:rPr>
        <w:t>N/A</w:t>
      </w:r>
    </w:p>
    <w:p w14:paraId="078F9D12" w14:textId="77777777" w:rsidR="006A23B5" w:rsidRPr="00332AAB"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2B896A25" w14:textId="77777777" w:rsidR="006A23B5" w:rsidRPr="00332AAB" w:rsidRDefault="006A23B5" w:rsidP="006A23B5">
      <w:pPr>
        <w:widowControl w:val="0"/>
        <w:numPr>
          <w:ilvl w:val="0"/>
          <w:numId w:val="9"/>
        </w:numPr>
        <w:tabs>
          <w:tab w:val="clear" w:pos="720"/>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sidRPr="00332AAB">
        <w:rPr>
          <w:rFonts w:ascii="Times New Roman" w:hAnsi="Times New Roman" w:cs="Times New Roman"/>
          <w:u w:val="single"/>
        </w:rPr>
        <w:t>Referrals</w:t>
      </w:r>
      <w:r w:rsidRPr="00332AAB">
        <w:rPr>
          <w:rFonts w:ascii="Times New Roman" w:hAnsi="Times New Roman" w:cs="Times New Roman"/>
        </w:rPr>
        <w:t xml:space="preserve">. </w:t>
      </w:r>
    </w:p>
    <w:p w14:paraId="51B9E688"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u w:val="single"/>
        </w:rPr>
      </w:pPr>
    </w:p>
    <w:p w14:paraId="63CDC81F"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sidRPr="00332AAB">
        <w:rPr>
          <w:rFonts w:ascii="Times New Roman" w:hAnsi="Times New Roman" w:cs="Times New Roman"/>
        </w:rPr>
        <w:t>Business Law Section</w:t>
      </w:r>
    </w:p>
    <w:p w14:paraId="0ADBDDFB"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sidRPr="00332AAB">
        <w:rPr>
          <w:rFonts w:ascii="Times New Roman" w:hAnsi="Times New Roman" w:cs="Times New Roman"/>
        </w:rPr>
        <w:t>Government and Public Sectors Lawyers Division</w:t>
      </w:r>
    </w:p>
    <w:p w14:paraId="2FDFAECA"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sidRPr="00332AAB">
        <w:rPr>
          <w:rFonts w:ascii="Times New Roman" w:hAnsi="Times New Roman" w:cs="Times New Roman"/>
        </w:rPr>
        <w:t>Intellectual Property Law Section</w:t>
      </w:r>
    </w:p>
    <w:p w14:paraId="103F4A0A" w14:textId="00358D3F" w:rsidR="009E1170" w:rsidRPr="00332AAB" w:rsidRDefault="009E1170" w:rsidP="009E117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sidRPr="006A23B5">
        <w:rPr>
          <w:rFonts w:ascii="Times New Roman" w:hAnsi="Times New Roman" w:cs="Times New Roman"/>
        </w:rPr>
        <w:t>Labor and Employment</w:t>
      </w:r>
      <w:r>
        <w:rPr>
          <w:rFonts w:ascii="Times New Roman" w:hAnsi="Times New Roman" w:cs="Times New Roman"/>
        </w:rPr>
        <w:t xml:space="preserve"> Law Section</w:t>
      </w:r>
    </w:p>
    <w:p w14:paraId="1F4CDD69" w14:textId="21786BAD" w:rsidR="009E1170" w:rsidRDefault="009E1170"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Pr>
          <w:rFonts w:ascii="Times New Roman" w:hAnsi="Times New Roman" w:cs="Times New Roman"/>
        </w:rPr>
        <w:t>Public Contract Law Section</w:t>
      </w:r>
    </w:p>
    <w:p w14:paraId="083D6DD6" w14:textId="23C791C2" w:rsidR="009E1170" w:rsidRDefault="009E1170"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Pr>
          <w:rFonts w:ascii="Times New Roman" w:hAnsi="Times New Roman" w:cs="Times New Roman"/>
        </w:rPr>
        <w:t xml:space="preserve">Public Utility, Communications and Transportation Law Section </w:t>
      </w:r>
    </w:p>
    <w:p w14:paraId="67080BDA" w14:textId="260B61E3" w:rsidR="009E1170" w:rsidRPr="00332AAB" w:rsidRDefault="006A23B5" w:rsidP="009E117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Times New Roman" w:hAnsi="Times New Roman" w:cs="Times New Roman"/>
        </w:rPr>
      </w:pPr>
      <w:r w:rsidRPr="00332AAB">
        <w:rPr>
          <w:rFonts w:ascii="Times New Roman" w:hAnsi="Times New Roman" w:cs="Times New Roman"/>
        </w:rPr>
        <w:t xml:space="preserve">Science </w:t>
      </w:r>
      <w:r w:rsidR="000373D5">
        <w:rPr>
          <w:rFonts w:ascii="Times New Roman" w:hAnsi="Times New Roman" w:cs="Times New Roman"/>
        </w:rPr>
        <w:t>and</w:t>
      </w:r>
      <w:r w:rsidRPr="00332AAB">
        <w:rPr>
          <w:rFonts w:ascii="Times New Roman" w:hAnsi="Times New Roman" w:cs="Times New Roman"/>
        </w:rPr>
        <w:t xml:space="preserve"> Technology Law Section</w:t>
      </w:r>
    </w:p>
    <w:p w14:paraId="29F29D15" w14:textId="33BDC14A" w:rsidR="006A23B5"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p>
    <w:p w14:paraId="793F1943" w14:textId="77777777" w:rsidR="0059779C" w:rsidRDefault="0059779C"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p>
    <w:p w14:paraId="04B91954" w14:textId="77777777" w:rsidR="0059779C" w:rsidRDefault="0059779C"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p>
    <w:p w14:paraId="4C0D53E7" w14:textId="77777777" w:rsidR="0059779C" w:rsidRDefault="0059779C"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p>
    <w:p w14:paraId="36589B16" w14:textId="77777777" w:rsidR="0059779C" w:rsidRPr="00332AAB" w:rsidRDefault="0059779C"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p>
    <w:p w14:paraId="5B80FEE0" w14:textId="77777777" w:rsidR="006A23B5" w:rsidRPr="00332AAB" w:rsidRDefault="006A23B5" w:rsidP="006A23B5">
      <w:pPr>
        <w:widowControl w:val="0"/>
        <w:numPr>
          <w:ilvl w:val="0"/>
          <w:numId w:val="9"/>
        </w:numPr>
        <w:tabs>
          <w:tab w:val="clear" w:pos="720"/>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hanging="450"/>
        <w:rPr>
          <w:rFonts w:ascii="Times New Roman" w:hAnsi="Times New Roman" w:cs="Times New Roman"/>
        </w:rPr>
      </w:pPr>
      <w:r w:rsidRPr="00332AAB">
        <w:rPr>
          <w:rFonts w:ascii="Times New Roman" w:hAnsi="Times New Roman" w:cs="Times New Roman"/>
          <w:u w:val="single"/>
        </w:rPr>
        <w:t>Contact Name and Address Information</w:t>
      </w:r>
      <w:r w:rsidRPr="00332AAB">
        <w:rPr>
          <w:rFonts w:ascii="Times New Roman" w:hAnsi="Times New Roman" w:cs="Times New Roman"/>
        </w:rPr>
        <w:t xml:space="preserve">. (Prior to the meeting.  Please include name, address, telephone number and e-mail address) </w:t>
      </w:r>
    </w:p>
    <w:p w14:paraId="7EBEC5D1"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u w:val="single"/>
        </w:rPr>
      </w:pPr>
    </w:p>
    <w:p w14:paraId="77B7D916"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James W. Conrad, Jr.</w:t>
      </w:r>
    </w:p>
    <w:p w14:paraId="63100C10"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Conrad Law &amp; Policy Counsel</w:t>
      </w:r>
    </w:p>
    <w:p w14:paraId="79ABB161"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1155 15</w:t>
      </w:r>
      <w:r w:rsidRPr="00332AAB">
        <w:rPr>
          <w:rFonts w:ascii="Times New Roman" w:hAnsi="Times New Roman" w:cs="Times New Roman"/>
          <w:vertAlign w:val="superscript"/>
        </w:rPr>
        <w:t>th</w:t>
      </w:r>
      <w:r w:rsidRPr="00332AAB">
        <w:rPr>
          <w:rFonts w:ascii="Times New Roman" w:hAnsi="Times New Roman" w:cs="Times New Roman"/>
        </w:rPr>
        <w:t xml:space="preserve"> St., NW, Suite 500</w:t>
      </w:r>
    </w:p>
    <w:p w14:paraId="4AC0C1D6"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Washington, DC 20005-2725</w:t>
      </w:r>
    </w:p>
    <w:p w14:paraId="5FD90249"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202-822-1970</w:t>
      </w:r>
    </w:p>
    <w:p w14:paraId="233998AB"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703-405-1660 (cell)</w:t>
      </w:r>
    </w:p>
    <w:p w14:paraId="73A28C0B"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jamie@conradcounsel.com</w:t>
      </w:r>
    </w:p>
    <w:p w14:paraId="3DE37D7A"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p>
    <w:p w14:paraId="5B519858"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Connor Raso</w:t>
      </w:r>
    </w:p>
    <w:p w14:paraId="644E5ECE"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60 L St NE, Apt 1112</w:t>
      </w:r>
    </w:p>
    <w:p w14:paraId="2D97E1D3"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Washington DC 20002</w:t>
      </w:r>
    </w:p>
    <w:p w14:paraId="36BF1F17"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6A23B5">
        <w:rPr>
          <w:rFonts w:ascii="Times New Roman" w:hAnsi="Times New Roman" w:cs="Times New Roman"/>
        </w:rPr>
        <w:t>650</w:t>
      </w:r>
      <w:r>
        <w:rPr>
          <w:rFonts w:ascii="Times New Roman" w:hAnsi="Times New Roman" w:cs="Times New Roman"/>
        </w:rPr>
        <w:t>-</w:t>
      </w:r>
      <w:r w:rsidRPr="006A23B5">
        <w:rPr>
          <w:rFonts w:ascii="Times New Roman" w:hAnsi="Times New Roman" w:cs="Times New Roman"/>
        </w:rPr>
        <w:t>380</w:t>
      </w:r>
      <w:r>
        <w:rPr>
          <w:rFonts w:ascii="Times New Roman" w:hAnsi="Times New Roman" w:cs="Times New Roman"/>
        </w:rPr>
        <w:t>-</w:t>
      </w:r>
      <w:r w:rsidRPr="00332AAB">
        <w:rPr>
          <w:rFonts w:ascii="Times New Roman" w:hAnsi="Times New Roman" w:cs="Times New Roman"/>
        </w:rPr>
        <w:t>8493</w:t>
      </w:r>
    </w:p>
    <w:p w14:paraId="5D187B1D"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raso@aya.yale.edu</w:t>
      </w:r>
    </w:p>
    <w:p w14:paraId="0F37E580" w14:textId="77777777" w:rsidR="006A23B5" w:rsidRPr="00332AAB" w:rsidRDefault="006A23B5" w:rsidP="006A23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14:paraId="6E6C0A6E" w14:textId="77777777" w:rsidR="006A23B5" w:rsidRPr="00332AAB" w:rsidRDefault="006A23B5" w:rsidP="006A23B5">
      <w:pPr>
        <w:widowControl w:val="0"/>
        <w:numPr>
          <w:ilvl w:val="0"/>
          <w:numId w:val="9"/>
        </w:numPr>
        <w:tabs>
          <w:tab w:val="clear" w:pos="720"/>
          <w:tab w:val="num" w:pos="4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hanging="450"/>
        <w:rPr>
          <w:rFonts w:ascii="Times New Roman" w:hAnsi="Times New Roman" w:cs="Times New Roman"/>
        </w:rPr>
      </w:pPr>
      <w:r w:rsidRPr="00332AAB">
        <w:rPr>
          <w:rFonts w:ascii="Times New Roman" w:hAnsi="Times New Roman" w:cs="Times New Roman"/>
          <w:u w:val="single"/>
        </w:rPr>
        <w:t>Contact Name and Address Information</w:t>
      </w:r>
      <w:r w:rsidRPr="00332AAB">
        <w:rPr>
          <w:rFonts w:ascii="Times New Roman" w:hAnsi="Times New Roman" w:cs="Times New Roman"/>
        </w:rPr>
        <w:t>. (Who will present the report to the House? Please include name, address, telephone number, cell phone number and e-mail address.)</w:t>
      </w:r>
    </w:p>
    <w:p w14:paraId="41D9213C"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u w:val="single"/>
        </w:rPr>
      </w:pPr>
    </w:p>
    <w:p w14:paraId="41DCDDA1"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Professor Ronald M. Levin</w:t>
      </w:r>
    </w:p>
    <w:p w14:paraId="512F335E"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Washington University School of Law</w:t>
      </w:r>
    </w:p>
    <w:p w14:paraId="1AD27ABD"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Campus Box 1120</w:t>
      </w:r>
    </w:p>
    <w:p w14:paraId="17BB531E"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St. Louis, MO 63130</w:t>
      </w:r>
    </w:p>
    <w:p w14:paraId="0870710E"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 xml:space="preserve">(314) 936-6490 </w:t>
      </w:r>
    </w:p>
    <w:p w14:paraId="5CADE0AE"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6A23B5">
        <w:rPr>
          <w:rFonts w:ascii="Times New Roman" w:hAnsi="Times New Roman" w:cs="Times New Roman"/>
        </w:rPr>
        <w:t>(314) 882-3039</w:t>
      </w:r>
      <w:r w:rsidRPr="00332AAB">
        <w:rPr>
          <w:rFonts w:ascii="Times New Roman" w:hAnsi="Times New Roman" w:cs="Times New Roman"/>
        </w:rPr>
        <w:t xml:space="preserve"> (cell)</w:t>
      </w:r>
    </w:p>
    <w:p w14:paraId="15914EB4" w14:textId="77777777" w:rsidR="006A23B5" w:rsidRPr="00332AAB" w:rsidRDefault="00982AE1"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hyperlink r:id="rId19" w:history="1">
        <w:r w:rsidR="006A23B5" w:rsidRPr="00332AAB">
          <w:rPr>
            <w:rStyle w:val="Hyperlink"/>
            <w:rFonts w:ascii="Times New Roman" w:hAnsi="Times New Roman" w:cs="Times New Roman"/>
          </w:rPr>
          <w:t>levin@wulaw.wustl.edu</w:t>
        </w:r>
      </w:hyperlink>
    </w:p>
    <w:p w14:paraId="0284FA8E"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p>
    <w:p w14:paraId="428CBEAD"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H. Russell Frisby, Jr.</w:t>
      </w:r>
    </w:p>
    <w:p w14:paraId="2C7BC952"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Stinson Leonard Street</w:t>
      </w:r>
    </w:p>
    <w:p w14:paraId="23E70A6F"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1775 Pennsylvania Ave., NW</w:t>
      </w:r>
    </w:p>
    <w:p w14:paraId="71880E47"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Suite 800</w:t>
      </w:r>
    </w:p>
    <w:p w14:paraId="0B989E5A"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Washington, D.C. 20006</w:t>
      </w:r>
    </w:p>
    <w:p w14:paraId="78FF8D2D"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(202) 572-9937</w:t>
      </w:r>
    </w:p>
    <w:p w14:paraId="7ED7F72C"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6A23B5">
        <w:rPr>
          <w:rFonts w:ascii="Times New Roman" w:hAnsi="Times New Roman" w:cs="Times New Roman"/>
        </w:rPr>
        <w:t>(202) 255-4320</w:t>
      </w:r>
      <w:r w:rsidRPr="00332AAB">
        <w:rPr>
          <w:rFonts w:ascii="Times New Roman" w:hAnsi="Times New Roman" w:cs="Times New Roman"/>
        </w:rPr>
        <w:t xml:space="preserve"> (cell)</w:t>
      </w:r>
    </w:p>
    <w:p w14:paraId="3E324EB1"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russell.frisby@stinson.com</w:t>
      </w:r>
    </w:p>
    <w:p w14:paraId="2B01B1F2"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p>
    <w:p w14:paraId="7B145BFD"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p>
    <w:p w14:paraId="5719F943" w14:textId="77777777" w:rsidR="006A23B5" w:rsidRPr="00332AAB" w:rsidRDefault="006A23B5" w:rsidP="006A23B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sectPr w:rsidR="006A23B5" w:rsidRPr="00332AAB" w:rsidSect="003703FF">
          <w:pgSz w:w="12240" w:h="15840" w:code="1"/>
          <w:pgMar w:top="1080" w:right="1800" w:bottom="1440" w:left="1800" w:header="720" w:footer="720" w:gutter="0"/>
          <w:cols w:space="720"/>
          <w:docGrid w:linePitch="360"/>
        </w:sectPr>
      </w:pPr>
    </w:p>
    <w:p w14:paraId="1A7C5F07" w14:textId="77777777" w:rsidR="006A23B5" w:rsidRPr="00332AAB" w:rsidRDefault="006A23B5" w:rsidP="006A23B5">
      <w:pPr>
        <w:jc w:val="center"/>
        <w:rPr>
          <w:rFonts w:ascii="Times New Roman" w:hAnsi="Times New Roman" w:cs="Times New Roman"/>
          <w:b/>
          <w:u w:val="single"/>
        </w:rPr>
      </w:pPr>
      <w:r w:rsidRPr="00332AAB">
        <w:rPr>
          <w:rFonts w:ascii="Times New Roman" w:hAnsi="Times New Roman" w:cs="Times New Roman"/>
          <w:b/>
          <w:u w:val="single"/>
        </w:rPr>
        <w:t>EXECUTIVE SUMMARY</w:t>
      </w:r>
    </w:p>
    <w:p w14:paraId="3056414C" w14:textId="77777777" w:rsidR="006A23B5" w:rsidRPr="00332AAB" w:rsidRDefault="006A23B5" w:rsidP="006A23B5">
      <w:pPr>
        <w:rPr>
          <w:rFonts w:ascii="Times New Roman" w:hAnsi="Times New Roman" w:cs="Times New Roman"/>
          <w:u w:val="single"/>
        </w:rPr>
      </w:pPr>
    </w:p>
    <w:p w14:paraId="7813CB76" w14:textId="77777777" w:rsidR="006A23B5" w:rsidRPr="00332AAB" w:rsidRDefault="006A23B5" w:rsidP="006A23B5">
      <w:pPr>
        <w:rPr>
          <w:rFonts w:ascii="Times New Roman" w:hAnsi="Times New Roman" w:cs="Times New Roman"/>
        </w:rPr>
      </w:pPr>
    </w:p>
    <w:p w14:paraId="2A715951" w14:textId="77777777" w:rsidR="006A23B5" w:rsidRPr="00332AAB" w:rsidRDefault="006A23B5" w:rsidP="006A23B5">
      <w:pPr>
        <w:rPr>
          <w:rFonts w:ascii="Times New Roman" w:hAnsi="Times New Roman" w:cs="Times New Roman"/>
          <w:u w:val="single"/>
        </w:rPr>
      </w:pPr>
      <w:r w:rsidRPr="00332AAB">
        <w:rPr>
          <w:rFonts w:ascii="Times New Roman" w:hAnsi="Times New Roman" w:cs="Times New Roman"/>
        </w:rPr>
        <w:t>1.</w:t>
      </w:r>
      <w:r w:rsidRPr="00332AAB">
        <w:rPr>
          <w:rFonts w:ascii="Times New Roman" w:hAnsi="Times New Roman" w:cs="Times New Roman"/>
        </w:rPr>
        <w:tab/>
      </w:r>
      <w:r w:rsidRPr="00332AAB">
        <w:rPr>
          <w:rFonts w:ascii="Times New Roman" w:hAnsi="Times New Roman" w:cs="Times New Roman"/>
          <w:u w:val="single"/>
        </w:rPr>
        <w:t xml:space="preserve">Summary of the Resolution </w:t>
      </w:r>
    </w:p>
    <w:p w14:paraId="597C3E2F" w14:textId="77777777" w:rsidR="006A23B5" w:rsidRPr="00332AAB" w:rsidRDefault="006A23B5" w:rsidP="006A23B5">
      <w:pPr>
        <w:rPr>
          <w:rFonts w:ascii="Times New Roman" w:hAnsi="Times New Roman" w:cs="Times New Roman"/>
          <w:u w:val="single"/>
        </w:rPr>
      </w:pPr>
    </w:p>
    <w:p w14:paraId="65080308" w14:textId="77777777" w:rsidR="006A23B5" w:rsidRPr="00332AAB" w:rsidRDefault="006A23B5" w:rsidP="006A23B5">
      <w:pPr>
        <w:rPr>
          <w:rFonts w:ascii="Times New Roman" w:hAnsi="Times New Roman" w:cs="Times New Roman"/>
        </w:rPr>
      </w:pPr>
      <w:r w:rsidRPr="00332AAB">
        <w:rPr>
          <w:rFonts w:ascii="Times New Roman" w:hAnsi="Times New Roman" w:cs="Times New Roman"/>
        </w:rPr>
        <w:tab/>
      </w:r>
      <w:bookmarkStart w:id="6" w:name="Text20"/>
      <w:r w:rsidRPr="00332AAB">
        <w:rPr>
          <w:rFonts w:ascii="Times New Roman" w:hAnsi="Times New Roman" w:cs="Times New Roman"/>
        </w:rPr>
        <w:t xml:space="preserve">The resolution urges </w:t>
      </w:r>
      <w:r w:rsidR="00FB63B7" w:rsidRPr="009259AB">
        <w:rPr>
          <w:rFonts w:ascii="Times New Roman" w:eastAsia="Times New Roman" w:hAnsi="Times New Roman" w:cs="Times New Roman"/>
        </w:rPr>
        <w:t xml:space="preserve">Congress </w:t>
      </w:r>
      <w:r w:rsidRPr="00332AAB">
        <w:rPr>
          <w:rFonts w:ascii="Times New Roman" w:hAnsi="Times New Roman" w:cs="Times New Roman"/>
        </w:rPr>
        <w:t>to urges Congress to modernize the rulemaking provisions of the Administrative Procedure Act.</w:t>
      </w:r>
    </w:p>
    <w:bookmarkEnd w:id="6"/>
    <w:p w14:paraId="7F69277D" w14:textId="77777777" w:rsidR="006A23B5" w:rsidRPr="00332AAB" w:rsidRDefault="006A23B5" w:rsidP="006A23B5">
      <w:pPr>
        <w:rPr>
          <w:rFonts w:ascii="Times New Roman" w:hAnsi="Times New Roman" w:cs="Times New Roman"/>
        </w:rPr>
      </w:pPr>
    </w:p>
    <w:p w14:paraId="001CE199" w14:textId="77777777" w:rsidR="006A23B5" w:rsidRPr="00332AAB" w:rsidRDefault="006A23B5" w:rsidP="006A23B5">
      <w:pPr>
        <w:rPr>
          <w:rFonts w:ascii="Times New Roman" w:hAnsi="Times New Roman" w:cs="Times New Roman"/>
          <w:u w:val="single"/>
        </w:rPr>
      </w:pPr>
      <w:r w:rsidRPr="00332AAB">
        <w:rPr>
          <w:rFonts w:ascii="Times New Roman" w:hAnsi="Times New Roman" w:cs="Times New Roman"/>
        </w:rPr>
        <w:t>2.</w:t>
      </w:r>
      <w:r w:rsidRPr="00332AAB">
        <w:rPr>
          <w:rFonts w:ascii="Times New Roman" w:hAnsi="Times New Roman" w:cs="Times New Roman"/>
        </w:rPr>
        <w:tab/>
      </w:r>
      <w:r w:rsidRPr="00332AAB">
        <w:rPr>
          <w:rFonts w:ascii="Times New Roman" w:hAnsi="Times New Roman" w:cs="Times New Roman"/>
          <w:u w:val="single"/>
        </w:rPr>
        <w:t>Summary of the Issue that the Resolution Addresses</w:t>
      </w:r>
    </w:p>
    <w:p w14:paraId="6F074F5F" w14:textId="77777777" w:rsidR="006A23B5" w:rsidRPr="00332AAB" w:rsidRDefault="006A23B5" w:rsidP="006A23B5">
      <w:pPr>
        <w:rPr>
          <w:rFonts w:ascii="Times New Roman" w:hAnsi="Times New Roman" w:cs="Times New Roman"/>
          <w:u w:val="single"/>
        </w:rPr>
      </w:pPr>
    </w:p>
    <w:p w14:paraId="52A9548E" w14:textId="4F047F60" w:rsidR="00E425F5" w:rsidRPr="00332AAB" w:rsidRDefault="006A23B5" w:rsidP="00E425F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450"/>
        <w:rPr>
          <w:rFonts w:ascii="Times New Roman" w:hAnsi="Times New Roman" w:cs="Times New Roman"/>
        </w:rPr>
      </w:pPr>
      <w:r w:rsidRPr="00332AAB">
        <w:rPr>
          <w:rFonts w:ascii="Times New Roman" w:hAnsi="Times New Roman" w:cs="Times New Roman"/>
        </w:rPr>
        <w:t>While it remains a cornerstone of the administrative state, the Administrative Procedure Act has grown outdated in a number of respects</w:t>
      </w:r>
      <w:r w:rsidR="00251F98">
        <w:rPr>
          <w:rFonts w:ascii="Times New Roman" w:hAnsi="Times New Roman" w:cs="Times New Roman"/>
        </w:rPr>
        <w:t xml:space="preserve"> as agency practice, technology, and judicial doctrine have evolved</w:t>
      </w:r>
      <w:r w:rsidRPr="00332AAB">
        <w:rPr>
          <w:rFonts w:ascii="Times New Roman" w:hAnsi="Times New Roman" w:cs="Times New Roman"/>
        </w:rPr>
        <w:t xml:space="preserve">.  Congress has entertained a broad variety of proposed reforms to the Act, most of which have proven highly controversial.  The resolution proposes reforms to modernize the Act that are widely supported within </w:t>
      </w:r>
      <w:r w:rsidR="00E425F5">
        <w:rPr>
          <w:rFonts w:ascii="Times New Roman" w:hAnsi="Times New Roman" w:cs="Times New Roman"/>
        </w:rPr>
        <w:t xml:space="preserve">(and outside of) </w:t>
      </w:r>
      <w:r w:rsidRPr="00332AAB">
        <w:rPr>
          <w:rFonts w:ascii="Times New Roman" w:hAnsi="Times New Roman" w:cs="Times New Roman"/>
        </w:rPr>
        <w:t xml:space="preserve">the Section of Administrative Law </w:t>
      </w:r>
      <w:r w:rsidR="000373D5">
        <w:rPr>
          <w:rFonts w:ascii="Times New Roman" w:hAnsi="Times New Roman" w:cs="Times New Roman"/>
        </w:rPr>
        <w:t>and</w:t>
      </w:r>
      <w:r w:rsidRPr="00332AAB">
        <w:rPr>
          <w:rFonts w:ascii="Times New Roman" w:hAnsi="Times New Roman" w:cs="Times New Roman"/>
        </w:rPr>
        <w:t xml:space="preserve"> Regulatory Practice.</w:t>
      </w:r>
      <w:r w:rsidR="00251F98">
        <w:rPr>
          <w:rFonts w:ascii="Times New Roman" w:hAnsi="Times New Roman" w:cs="Times New Roman"/>
        </w:rPr>
        <w:t xml:space="preserve">  These reforms are intended to help enhance public participation in the rulemaking process and to provide clearer </w:t>
      </w:r>
      <w:r w:rsidR="00E425F5">
        <w:rPr>
          <w:rFonts w:ascii="Times New Roman" w:hAnsi="Times New Roman" w:cs="Times New Roman"/>
        </w:rPr>
        <w:t xml:space="preserve">direction </w:t>
      </w:r>
      <w:r w:rsidR="00251F98">
        <w:rPr>
          <w:rFonts w:ascii="Times New Roman" w:hAnsi="Times New Roman" w:cs="Times New Roman"/>
        </w:rPr>
        <w:t>to agencies.</w:t>
      </w:r>
      <w:r w:rsidR="00E425F5">
        <w:rPr>
          <w:rFonts w:ascii="Times New Roman" w:hAnsi="Times New Roman" w:cs="Times New Roman"/>
        </w:rPr>
        <w:t xml:space="preserve">  Some codify case law or executive order and many of them build on prior recommendations of the ABA or Administrative Conference of the United States.  </w:t>
      </w:r>
    </w:p>
    <w:p w14:paraId="7D567577" w14:textId="77777777" w:rsidR="006A23B5" w:rsidRPr="00332AAB" w:rsidRDefault="006A23B5" w:rsidP="006A23B5">
      <w:pPr>
        <w:rPr>
          <w:rFonts w:ascii="Times New Roman" w:hAnsi="Times New Roman" w:cs="Times New Roman"/>
        </w:rPr>
      </w:pPr>
    </w:p>
    <w:p w14:paraId="78E54951" w14:textId="77777777" w:rsidR="006A23B5" w:rsidRPr="00332AAB" w:rsidRDefault="006A23B5" w:rsidP="006A23B5">
      <w:pPr>
        <w:rPr>
          <w:rFonts w:ascii="Times New Roman" w:hAnsi="Times New Roman" w:cs="Times New Roman"/>
        </w:rPr>
      </w:pPr>
      <w:r w:rsidRPr="00332AAB">
        <w:rPr>
          <w:rFonts w:ascii="Times New Roman" w:hAnsi="Times New Roman" w:cs="Times New Roman"/>
        </w:rPr>
        <w:t>3.</w:t>
      </w:r>
      <w:r w:rsidRPr="00332AAB">
        <w:rPr>
          <w:rFonts w:ascii="Times New Roman" w:hAnsi="Times New Roman" w:cs="Times New Roman"/>
        </w:rPr>
        <w:tab/>
      </w:r>
      <w:r w:rsidRPr="00332AAB">
        <w:rPr>
          <w:rFonts w:ascii="Times New Roman" w:hAnsi="Times New Roman" w:cs="Times New Roman"/>
          <w:u w:val="single"/>
        </w:rPr>
        <w:t>Please Explain How the Proposed Policy Position will address the issue</w:t>
      </w:r>
      <w:r w:rsidRPr="00332AAB">
        <w:rPr>
          <w:rFonts w:ascii="Times New Roman" w:hAnsi="Times New Roman" w:cs="Times New Roman"/>
        </w:rPr>
        <w:t xml:space="preserve"> </w:t>
      </w:r>
    </w:p>
    <w:p w14:paraId="0F3AA8A2" w14:textId="77777777" w:rsidR="006A23B5" w:rsidRPr="00332AAB" w:rsidRDefault="006A23B5" w:rsidP="006A23B5">
      <w:pPr>
        <w:rPr>
          <w:rFonts w:ascii="Times New Roman" w:hAnsi="Times New Roman" w:cs="Times New Roman"/>
        </w:rPr>
      </w:pPr>
    </w:p>
    <w:p w14:paraId="52C703B9" w14:textId="51A23A81" w:rsidR="00217518" w:rsidRDefault="006A23B5" w:rsidP="00457D61">
      <w:pPr>
        <w:ind w:firstLine="720"/>
        <w:rPr>
          <w:rFonts w:ascii="Times New Roman" w:eastAsia="Times New Roman" w:hAnsi="Times New Roman" w:cs="Times New Roman"/>
        </w:rPr>
      </w:pPr>
      <w:r w:rsidRPr="00332AAB">
        <w:rPr>
          <w:rFonts w:ascii="Times New Roman" w:hAnsi="Times New Roman" w:cs="Times New Roman"/>
        </w:rPr>
        <w:t>The resolution urges Congress to amend the Administrative Procedure Act to: 1) codify the requirement that an agency fully disclose data and other information used in rulemaking; 2) codify the requirement that agencies develop a rulemaking record</w:t>
      </w:r>
      <w:r w:rsidR="00C254BB">
        <w:rPr>
          <w:rFonts w:ascii="Times New Roman" w:hAnsi="Times New Roman" w:cs="Times New Roman"/>
        </w:rPr>
        <w:t xml:space="preserve"> and a public docket for each rulemaking</w:t>
      </w:r>
      <w:r w:rsidRPr="00332AAB">
        <w:rPr>
          <w:rFonts w:ascii="Times New Roman" w:hAnsi="Times New Roman" w:cs="Times New Roman"/>
        </w:rPr>
        <w:t>; 3) establish a minimum comment period of 60 days for “major” rules, subject to an exemption for good cause; 4)</w:t>
      </w:r>
      <w:r w:rsidR="009427A8">
        <w:rPr>
          <w:rFonts w:ascii="Times New Roman" w:hAnsi="Times New Roman" w:cs="Times New Roman"/>
        </w:rPr>
        <w:t xml:space="preserve"> tighten and</w:t>
      </w:r>
      <w:r w:rsidRPr="00332AAB">
        <w:rPr>
          <w:rFonts w:ascii="Times New Roman" w:hAnsi="Times New Roman" w:cs="Times New Roman"/>
        </w:rPr>
        <w:t xml:space="preserve"> clarify several outdated definitions; 5) authorize new presidential administrations to delay the effective date of rules finalized at the end of the prior administration; 6) promote retrospective review of major rules; 7) codify some provisions of the Unified Regulatory Agenda; 8) repeal or narrow several outdated exemptions from the notice-and-comment process; and 9) require agencies to seek post-promulgation </w:t>
      </w:r>
      <w:r w:rsidR="00FB63B7" w:rsidRPr="009259AB">
        <w:rPr>
          <w:rFonts w:ascii="Times New Roman" w:eastAsia="Times New Roman" w:hAnsi="Times New Roman" w:cs="Times New Roman"/>
        </w:rPr>
        <w:t>comments</w:t>
      </w:r>
      <w:r w:rsidRPr="00332AAB">
        <w:rPr>
          <w:rFonts w:ascii="Times New Roman" w:hAnsi="Times New Roman" w:cs="Times New Roman"/>
        </w:rPr>
        <w:t> on some rules issued without notice and comment.  The resolution also encourages</w:t>
      </w:r>
      <w:r w:rsidR="00FB63B7" w:rsidRPr="009259AB">
        <w:rPr>
          <w:rFonts w:ascii="Times New Roman" w:eastAsia="Times New Roman" w:hAnsi="Times New Roman" w:cs="Times New Roman"/>
        </w:rPr>
        <w:t xml:space="preserve"> agencies to experiment with </w:t>
      </w:r>
      <w:r w:rsidRPr="00332AAB">
        <w:rPr>
          <w:rFonts w:ascii="Times New Roman" w:hAnsi="Times New Roman" w:cs="Times New Roman"/>
        </w:rPr>
        <w:t>“reply comment” processes</w:t>
      </w:r>
      <w:r w:rsidR="00FB63B7" w:rsidRPr="009259AB">
        <w:rPr>
          <w:rFonts w:ascii="Times New Roman" w:eastAsia="Times New Roman" w:hAnsi="Times New Roman" w:cs="Times New Roman"/>
        </w:rPr>
        <w:t>.</w:t>
      </w:r>
    </w:p>
    <w:p w14:paraId="0F8F256D" w14:textId="77777777" w:rsidR="006A23B5" w:rsidRPr="00332AAB" w:rsidRDefault="006A23B5" w:rsidP="006A23B5">
      <w:pPr>
        <w:rPr>
          <w:rFonts w:ascii="Times New Roman" w:hAnsi="Times New Roman" w:cs="Times New Roman"/>
        </w:rPr>
      </w:pPr>
      <w:r w:rsidRPr="00332AAB">
        <w:rPr>
          <w:rFonts w:ascii="Times New Roman" w:hAnsi="Times New Roman" w:cs="Times New Roman"/>
        </w:rPr>
        <w:tab/>
      </w:r>
    </w:p>
    <w:p w14:paraId="019B92E1" w14:textId="77777777" w:rsidR="006A23B5" w:rsidRPr="00332AAB" w:rsidRDefault="006A23B5" w:rsidP="006A23B5">
      <w:pPr>
        <w:rPr>
          <w:rFonts w:ascii="Times New Roman" w:hAnsi="Times New Roman" w:cs="Times New Roman"/>
          <w:u w:val="single"/>
        </w:rPr>
      </w:pPr>
      <w:r w:rsidRPr="00332AAB">
        <w:rPr>
          <w:rFonts w:ascii="Times New Roman" w:hAnsi="Times New Roman" w:cs="Times New Roman"/>
        </w:rPr>
        <w:t>4.</w:t>
      </w:r>
      <w:r w:rsidRPr="00332AAB">
        <w:rPr>
          <w:rFonts w:ascii="Times New Roman" w:hAnsi="Times New Roman" w:cs="Times New Roman"/>
        </w:rPr>
        <w:tab/>
      </w:r>
      <w:r w:rsidRPr="00332AAB">
        <w:rPr>
          <w:rFonts w:ascii="Times New Roman" w:hAnsi="Times New Roman" w:cs="Times New Roman"/>
          <w:u w:val="single"/>
        </w:rPr>
        <w:t>Summary of Minority Views</w:t>
      </w:r>
    </w:p>
    <w:p w14:paraId="485E71C4" w14:textId="77777777" w:rsidR="006A23B5" w:rsidRPr="00332AAB" w:rsidRDefault="006A23B5" w:rsidP="006A23B5">
      <w:pPr>
        <w:rPr>
          <w:rFonts w:ascii="Times New Roman" w:hAnsi="Times New Roman" w:cs="Times New Roman"/>
          <w:u w:val="single"/>
        </w:rPr>
      </w:pPr>
    </w:p>
    <w:p w14:paraId="6A3F569A" w14:textId="77777777" w:rsidR="006A23B5" w:rsidRPr="00332AAB" w:rsidRDefault="006A23B5" w:rsidP="006A23B5">
      <w:pPr>
        <w:rPr>
          <w:rFonts w:ascii="Times New Roman" w:hAnsi="Times New Roman" w:cs="Times New Roman"/>
        </w:rPr>
      </w:pPr>
      <w:r w:rsidRPr="00332AAB">
        <w:rPr>
          <w:rFonts w:ascii="Times New Roman" w:hAnsi="Times New Roman" w:cs="Times New Roman"/>
        </w:rPr>
        <w:tab/>
        <w:t>None.</w:t>
      </w:r>
    </w:p>
    <w:p w14:paraId="1AEA348E" w14:textId="77777777" w:rsidR="006A23B5" w:rsidRPr="00332AAB" w:rsidRDefault="006A23B5" w:rsidP="006A23B5">
      <w:pPr>
        <w:rPr>
          <w:rFonts w:ascii="Times New Roman" w:hAnsi="Times New Roman" w:cs="Times New Roman"/>
          <w:b/>
          <w:u w:val="single"/>
        </w:rPr>
      </w:pPr>
    </w:p>
    <w:p w14:paraId="25EEE090" w14:textId="77777777" w:rsidR="006A23B5" w:rsidRPr="006A23B5" w:rsidRDefault="006A23B5">
      <w:pPr>
        <w:rPr>
          <w:rFonts w:ascii="Times New Roman" w:hAnsi="Times New Roman" w:cs="Times New Roman"/>
        </w:rPr>
      </w:pPr>
    </w:p>
    <w:p w14:paraId="52A5A234" w14:textId="77777777" w:rsidR="00281C97" w:rsidRPr="009259AB" w:rsidRDefault="00281C97">
      <w:pPr>
        <w:rPr>
          <w:rFonts w:ascii="Times New Roman" w:hAnsi="Times New Roman" w:cs="Times New Roman"/>
        </w:rPr>
      </w:pPr>
      <w:bookmarkStart w:id="7" w:name="_GoBack"/>
      <w:bookmarkEnd w:id="7"/>
    </w:p>
    <w:sectPr w:rsidR="00281C97" w:rsidRPr="009259AB" w:rsidSect="004025AC">
      <w:footerReference w:type="even" r:id="rId20"/>
      <w:footerReference w:type="default" r:id="rId21"/>
      <w:headerReference w:type="first" r:id="rId22"/>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BBF45" w14:textId="77777777" w:rsidR="00E425F5" w:rsidRDefault="00E425F5" w:rsidP="001E1493">
      <w:r>
        <w:separator/>
      </w:r>
    </w:p>
  </w:endnote>
  <w:endnote w:type="continuationSeparator" w:id="0">
    <w:p w14:paraId="0268F5B7" w14:textId="77777777" w:rsidR="00E425F5" w:rsidRDefault="00E425F5" w:rsidP="001E1493">
      <w:r>
        <w:continuationSeparator/>
      </w:r>
    </w:p>
  </w:endnote>
  <w:endnote w:type="continuationNotice" w:id="1">
    <w:p w14:paraId="197FEA7E" w14:textId="77777777" w:rsidR="00E425F5" w:rsidRDefault="00E425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645015"/>
      <w:docPartObj>
        <w:docPartGallery w:val="Page Numbers (Bottom of Page)"/>
        <w:docPartUnique/>
      </w:docPartObj>
    </w:sdtPr>
    <w:sdtEndPr>
      <w:rPr>
        <w:noProof/>
      </w:rPr>
    </w:sdtEndPr>
    <w:sdtContent>
      <w:p w14:paraId="12CF0B88" w14:textId="3563650F" w:rsidR="00A13D41" w:rsidRDefault="00A13D41">
        <w:pPr>
          <w:pStyle w:val="Footer"/>
          <w:jc w:val="center"/>
        </w:pPr>
        <w:r>
          <w:fldChar w:fldCharType="begin"/>
        </w:r>
        <w:r>
          <w:instrText xml:space="preserve"> PAGE   \* MERGEFORMAT </w:instrText>
        </w:r>
        <w:r>
          <w:fldChar w:fldCharType="separate"/>
        </w:r>
        <w:r w:rsidR="00982AE1">
          <w:rPr>
            <w:noProof/>
          </w:rPr>
          <w:t>14</w:t>
        </w:r>
        <w:r>
          <w:rPr>
            <w:noProof/>
          </w:rPr>
          <w:fldChar w:fldCharType="end"/>
        </w:r>
      </w:p>
    </w:sdtContent>
  </w:sdt>
  <w:p w14:paraId="08B0D016" w14:textId="77777777" w:rsidR="00E425F5" w:rsidRDefault="00E425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F526D" w14:textId="77777777" w:rsidR="00E425F5" w:rsidRDefault="00E425F5" w:rsidP="004025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13D41">
      <w:rPr>
        <w:rStyle w:val="PageNumber"/>
        <w:noProof/>
      </w:rPr>
      <w:t>3</w:t>
    </w:r>
    <w:r>
      <w:rPr>
        <w:rStyle w:val="PageNumber"/>
      </w:rPr>
      <w:fldChar w:fldCharType="end"/>
    </w:r>
  </w:p>
  <w:p w14:paraId="2CEA0C66" w14:textId="77777777" w:rsidR="00E425F5" w:rsidRDefault="00E425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2759287"/>
      <w:docPartObj>
        <w:docPartGallery w:val="Page Numbers (Bottom of Page)"/>
        <w:docPartUnique/>
      </w:docPartObj>
    </w:sdtPr>
    <w:sdtEndPr>
      <w:rPr>
        <w:noProof/>
      </w:rPr>
    </w:sdtEndPr>
    <w:sdtContent>
      <w:p w14:paraId="049C09FD" w14:textId="07D24331" w:rsidR="00A13D41" w:rsidRDefault="00A13D41">
        <w:pPr>
          <w:pStyle w:val="Footer"/>
          <w:jc w:val="center"/>
        </w:pPr>
        <w:r>
          <w:fldChar w:fldCharType="begin"/>
        </w:r>
        <w:r>
          <w:instrText xml:space="preserve"> PAGE   \* MERGEFORMAT </w:instrText>
        </w:r>
        <w:r>
          <w:fldChar w:fldCharType="separate"/>
        </w:r>
        <w:r w:rsidR="00982AE1">
          <w:rPr>
            <w:noProof/>
          </w:rPr>
          <w:t>15</w:t>
        </w:r>
        <w:r>
          <w:rPr>
            <w:noProof/>
          </w:rPr>
          <w:fldChar w:fldCharType="end"/>
        </w:r>
      </w:p>
    </w:sdtContent>
  </w:sdt>
  <w:p w14:paraId="5AC47B05" w14:textId="77777777" w:rsidR="00E425F5" w:rsidRPr="00DE2617" w:rsidRDefault="00E425F5">
    <w:pPr>
      <w:pStyle w:val="Footer"/>
      <w:rPr>
        <w:rFonts w:ascii="Times New Roman" w:hAnsi="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876BF" w14:textId="77777777" w:rsidR="00E425F5" w:rsidRDefault="00E425F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4466C" w14:textId="77777777" w:rsidR="00E425F5" w:rsidRDefault="00E425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DA7B44" w14:textId="77777777" w:rsidR="00E425F5" w:rsidRDefault="00E425F5" w:rsidP="001E1493">
      <w:r>
        <w:separator/>
      </w:r>
    </w:p>
  </w:footnote>
  <w:footnote w:type="continuationSeparator" w:id="0">
    <w:p w14:paraId="45BACDA9" w14:textId="77777777" w:rsidR="00E425F5" w:rsidRDefault="00E425F5" w:rsidP="001E1493">
      <w:r>
        <w:continuationSeparator/>
      </w:r>
    </w:p>
  </w:footnote>
  <w:footnote w:type="continuationNotice" w:id="1">
    <w:p w14:paraId="40AB8631" w14:textId="77777777" w:rsidR="00E425F5" w:rsidRDefault="00E425F5"/>
  </w:footnote>
  <w:footnote w:id="2">
    <w:p w14:paraId="28D643BD" w14:textId="77777777" w:rsidR="00E425F5" w:rsidRPr="00FD4DB0" w:rsidRDefault="00E425F5" w:rsidP="006D6B7B">
      <w:pPr>
        <w:pStyle w:val="FootnoteText"/>
        <w:contextualSpacing/>
        <w:rPr>
          <w:sz w:val="20"/>
          <w:szCs w:val="20"/>
        </w:rPr>
      </w:pPr>
      <w:r w:rsidRPr="00FD4DB0">
        <w:rPr>
          <w:rStyle w:val="FootnoteReference"/>
          <w:sz w:val="20"/>
          <w:szCs w:val="20"/>
        </w:rPr>
        <w:footnoteRef/>
      </w:r>
      <w:r w:rsidRPr="00FD4DB0">
        <w:rPr>
          <w:sz w:val="20"/>
          <w:szCs w:val="20"/>
        </w:rPr>
        <w:t xml:space="preserve"> 5 U.S.C. § 553(b)(3).</w:t>
      </w:r>
    </w:p>
    <w:p w14:paraId="3EF17F4E" w14:textId="77777777" w:rsidR="00E425F5" w:rsidRPr="00FD4DB0" w:rsidRDefault="00E425F5" w:rsidP="006D6B7B">
      <w:pPr>
        <w:pStyle w:val="FootnoteText"/>
        <w:contextualSpacing/>
        <w:rPr>
          <w:sz w:val="20"/>
          <w:szCs w:val="20"/>
        </w:rPr>
      </w:pPr>
    </w:p>
  </w:footnote>
  <w:footnote w:id="3">
    <w:p w14:paraId="6C24C311" w14:textId="6BDA1D38" w:rsidR="00E425F5" w:rsidRPr="00457D61" w:rsidRDefault="00E425F5" w:rsidP="006D6B7B">
      <w:pPr>
        <w:pStyle w:val="FootnoteText"/>
        <w:rPr>
          <w:sz w:val="20"/>
        </w:rPr>
      </w:pPr>
      <w:r w:rsidRPr="00FD4DB0">
        <w:rPr>
          <w:rStyle w:val="FootnoteReference"/>
          <w:sz w:val="20"/>
          <w:szCs w:val="20"/>
        </w:rPr>
        <w:footnoteRef/>
      </w:r>
      <w:r w:rsidRPr="00435ACD">
        <w:rPr>
          <w:sz w:val="20"/>
          <w:szCs w:val="20"/>
        </w:rPr>
        <w:t xml:space="preserve"> </w:t>
      </w:r>
      <w:r>
        <w:rPr>
          <w:i/>
          <w:sz w:val="20"/>
          <w:szCs w:val="20"/>
        </w:rPr>
        <w:t>See, e</w:t>
      </w:r>
      <w:r w:rsidRPr="00332AAB">
        <w:rPr>
          <w:i/>
          <w:sz w:val="20"/>
          <w:szCs w:val="20"/>
        </w:rPr>
        <w:t>.g.,</w:t>
      </w:r>
      <w:r w:rsidRPr="00FD4DB0">
        <w:rPr>
          <w:sz w:val="20"/>
          <w:szCs w:val="20"/>
        </w:rPr>
        <w:t xml:space="preserve"> </w:t>
      </w:r>
      <w:r w:rsidRPr="00E43158">
        <w:rPr>
          <w:iCs/>
          <w:sz w:val="20"/>
          <w:szCs w:val="20"/>
        </w:rPr>
        <w:t>Portland Cement Ass'n v. Ruckelshaus</w:t>
      </w:r>
      <w:r w:rsidRPr="00E43158">
        <w:rPr>
          <w:i/>
          <w:iCs/>
          <w:sz w:val="20"/>
          <w:szCs w:val="20"/>
        </w:rPr>
        <w:t>,</w:t>
      </w:r>
      <w:r w:rsidRPr="00E43158">
        <w:rPr>
          <w:sz w:val="20"/>
          <w:szCs w:val="20"/>
        </w:rPr>
        <w:t xml:space="preserve"> 486 F.2d 375, 394 (D.C. Cir. 1973</w:t>
      </w:r>
      <w:r>
        <w:rPr>
          <w:sz w:val="20"/>
          <w:szCs w:val="20"/>
        </w:rPr>
        <w:t>)</w:t>
      </w:r>
      <w:r w:rsidRPr="00E43158">
        <w:rPr>
          <w:sz w:val="20"/>
          <w:szCs w:val="20"/>
        </w:rPr>
        <w:t>.</w:t>
      </w:r>
    </w:p>
    <w:p w14:paraId="7145ACC6" w14:textId="77777777" w:rsidR="00E425F5" w:rsidRPr="00FD4DB0" w:rsidRDefault="00E425F5" w:rsidP="006D6B7B">
      <w:pPr>
        <w:pStyle w:val="FootnoteText"/>
        <w:rPr>
          <w:sz w:val="20"/>
          <w:szCs w:val="20"/>
        </w:rPr>
      </w:pPr>
    </w:p>
  </w:footnote>
  <w:footnote w:id="4">
    <w:p w14:paraId="0CA32280" w14:textId="77777777" w:rsidR="00E425F5" w:rsidRPr="00FD4DB0" w:rsidRDefault="00E425F5" w:rsidP="006D6B7B">
      <w:pPr>
        <w:pStyle w:val="FootnoteText"/>
        <w:contextualSpacing/>
        <w:rPr>
          <w:sz w:val="20"/>
          <w:szCs w:val="20"/>
        </w:rPr>
      </w:pPr>
      <w:r w:rsidRPr="00FD4DB0">
        <w:rPr>
          <w:rStyle w:val="FootnoteReference"/>
          <w:sz w:val="20"/>
          <w:szCs w:val="20"/>
        </w:rPr>
        <w:footnoteRef/>
      </w:r>
      <w:r w:rsidRPr="00FD4DB0">
        <w:rPr>
          <w:sz w:val="20"/>
          <w:szCs w:val="20"/>
        </w:rPr>
        <w:t xml:space="preserve"> </w:t>
      </w:r>
      <w:r w:rsidRPr="00E43158">
        <w:rPr>
          <w:i/>
          <w:sz w:val="20"/>
          <w:szCs w:val="20"/>
        </w:rPr>
        <w:t>See</w:t>
      </w:r>
      <w:r w:rsidRPr="00FD4DB0">
        <w:rPr>
          <w:sz w:val="20"/>
          <w:szCs w:val="20"/>
        </w:rPr>
        <w:t xml:space="preserve"> Am. Radio Relay League v. FCC, 524 F.3d 227, 245-47 (D.C. Cir. 2008) (Kavanaugh, J., concurring and dissenting); AARP v. EEOC, 489 F.3d 558, 567 (3d Cir. 2007).</w:t>
      </w:r>
    </w:p>
    <w:p w14:paraId="696F41BE" w14:textId="77777777" w:rsidR="00E425F5" w:rsidRPr="00FD4DB0" w:rsidRDefault="00E425F5" w:rsidP="006D6B7B">
      <w:pPr>
        <w:pStyle w:val="FootnoteText"/>
        <w:contextualSpacing/>
        <w:rPr>
          <w:sz w:val="20"/>
          <w:szCs w:val="20"/>
        </w:rPr>
      </w:pPr>
    </w:p>
  </w:footnote>
  <w:footnote w:id="5">
    <w:p w14:paraId="3F38874E" w14:textId="77777777" w:rsidR="00E425F5" w:rsidRPr="00435ACD" w:rsidRDefault="00E425F5" w:rsidP="008246F1">
      <w:pPr>
        <w:rPr>
          <w:rFonts w:ascii="Times New Roman" w:eastAsia="Times New Roman" w:hAnsi="Times New Roman" w:cs="Times New Roman"/>
          <w:sz w:val="20"/>
          <w:szCs w:val="20"/>
        </w:rPr>
      </w:pPr>
      <w:r w:rsidRPr="00435ACD">
        <w:rPr>
          <w:rStyle w:val="FootnoteReference"/>
          <w:rFonts w:ascii="Times New Roman" w:hAnsi="Times New Roman"/>
          <w:sz w:val="20"/>
          <w:szCs w:val="20"/>
        </w:rPr>
        <w:footnoteRef/>
      </w:r>
      <w:r w:rsidRPr="00435ACD">
        <w:rPr>
          <w:rFonts w:ascii="Times New Roman" w:hAnsi="Times New Roman" w:cs="Times New Roman"/>
          <w:sz w:val="20"/>
          <w:szCs w:val="20"/>
        </w:rPr>
        <w:t xml:space="preserve"> 5 U.S.C. § 706 (“</w:t>
      </w:r>
      <w:r>
        <w:rPr>
          <w:rFonts w:ascii="Times New Roman" w:hAnsi="Times New Roman" w:cs="Times New Roman"/>
          <w:sz w:val="20"/>
          <w:szCs w:val="20"/>
        </w:rPr>
        <w:t>[T]</w:t>
      </w:r>
      <w:r w:rsidRPr="00332AAB">
        <w:rPr>
          <w:rFonts w:ascii="Times New Roman" w:eastAsia="Times New Roman" w:hAnsi="Times New Roman" w:cs="Times New Roman"/>
          <w:sz w:val="20"/>
          <w:szCs w:val="20"/>
          <w:shd w:val="clear" w:color="auto" w:fill="FFFFFF"/>
        </w:rPr>
        <w:t>he court shall review the whole record or those parts of it cited by a party, and due account shall be taken of the rule of prejudicial error.”).</w:t>
      </w:r>
    </w:p>
    <w:p w14:paraId="76AB8789" w14:textId="77777777" w:rsidR="00E425F5" w:rsidRPr="006A23B5" w:rsidRDefault="00E425F5" w:rsidP="008246F1">
      <w:pPr>
        <w:pStyle w:val="FootnoteText"/>
        <w:rPr>
          <w:sz w:val="20"/>
          <w:szCs w:val="20"/>
        </w:rPr>
      </w:pPr>
    </w:p>
  </w:footnote>
  <w:footnote w:id="6">
    <w:p w14:paraId="1D589F0B" w14:textId="77777777" w:rsidR="00E425F5" w:rsidRPr="00EE1CB2" w:rsidRDefault="00E425F5" w:rsidP="008246F1">
      <w:pPr>
        <w:pStyle w:val="FootnoteText"/>
        <w:contextualSpacing/>
        <w:rPr>
          <w:sz w:val="20"/>
          <w:szCs w:val="20"/>
        </w:rPr>
      </w:pPr>
      <w:r w:rsidRPr="00FD4DB0">
        <w:rPr>
          <w:rStyle w:val="FootnoteReference"/>
          <w:sz w:val="20"/>
          <w:szCs w:val="20"/>
        </w:rPr>
        <w:footnoteRef/>
      </w:r>
      <w:r w:rsidRPr="00EE1CB2">
        <w:rPr>
          <w:sz w:val="20"/>
          <w:szCs w:val="20"/>
        </w:rPr>
        <w:t xml:space="preserve"> </w:t>
      </w:r>
      <w:r w:rsidRPr="00332AAB">
        <w:rPr>
          <w:i/>
          <w:sz w:val="20"/>
          <w:szCs w:val="20"/>
        </w:rPr>
        <w:t>See, e,g.,</w:t>
      </w:r>
      <w:r>
        <w:rPr>
          <w:sz w:val="20"/>
          <w:szCs w:val="20"/>
        </w:rPr>
        <w:t xml:space="preserve"> </w:t>
      </w:r>
      <w:r w:rsidRPr="00332AAB">
        <w:rPr>
          <w:rStyle w:val="Emphasis"/>
          <w:rFonts w:eastAsiaTheme="minorHAnsi"/>
          <w:i w:val="0"/>
          <w:iCs w:val="0"/>
          <w:sz w:val="20"/>
          <w:szCs w:val="20"/>
          <w:shd w:val="clear" w:color="auto" w:fill="FFFFFF"/>
        </w:rPr>
        <w:t>Vermont Yankee Nuclear Power Corp</w:t>
      </w:r>
      <w:r w:rsidRPr="00332AAB">
        <w:rPr>
          <w:sz w:val="20"/>
          <w:szCs w:val="20"/>
          <w:shd w:val="clear" w:color="auto" w:fill="FFFFFF"/>
        </w:rPr>
        <w:t>.</w:t>
      </w:r>
      <w:r w:rsidRPr="00332AAB">
        <w:rPr>
          <w:rStyle w:val="apple-converted-space"/>
          <w:sz w:val="20"/>
          <w:szCs w:val="20"/>
          <w:shd w:val="clear" w:color="auto" w:fill="FFFFFF"/>
        </w:rPr>
        <w:t> </w:t>
      </w:r>
      <w:r w:rsidRPr="00332AAB">
        <w:rPr>
          <w:rStyle w:val="Emphasis"/>
          <w:rFonts w:eastAsiaTheme="minorHAnsi"/>
          <w:i w:val="0"/>
          <w:iCs w:val="0"/>
          <w:sz w:val="20"/>
          <w:szCs w:val="20"/>
          <w:shd w:val="clear" w:color="auto" w:fill="FFFFFF"/>
        </w:rPr>
        <w:t>v</w:t>
      </w:r>
      <w:r w:rsidRPr="00332AAB">
        <w:rPr>
          <w:sz w:val="20"/>
          <w:szCs w:val="20"/>
          <w:shd w:val="clear" w:color="auto" w:fill="FFFFFF"/>
        </w:rPr>
        <w:t>.</w:t>
      </w:r>
      <w:r w:rsidRPr="00332AAB">
        <w:rPr>
          <w:rStyle w:val="apple-converted-space"/>
          <w:sz w:val="20"/>
          <w:szCs w:val="20"/>
          <w:shd w:val="clear" w:color="auto" w:fill="FFFFFF"/>
        </w:rPr>
        <w:t> </w:t>
      </w:r>
      <w:r w:rsidRPr="00332AAB">
        <w:rPr>
          <w:rStyle w:val="Emphasis"/>
          <w:rFonts w:eastAsiaTheme="minorHAnsi"/>
          <w:i w:val="0"/>
          <w:iCs w:val="0"/>
          <w:sz w:val="20"/>
          <w:szCs w:val="20"/>
          <w:shd w:val="clear" w:color="auto" w:fill="FFFFFF"/>
        </w:rPr>
        <w:t>NRDC</w:t>
      </w:r>
      <w:r>
        <w:rPr>
          <w:rStyle w:val="Emphasis"/>
          <w:rFonts w:eastAsiaTheme="minorHAnsi"/>
          <w:i w:val="0"/>
          <w:iCs w:val="0"/>
          <w:sz w:val="20"/>
          <w:szCs w:val="20"/>
          <w:shd w:val="clear" w:color="auto" w:fill="FFFFFF"/>
        </w:rPr>
        <w:t>,</w:t>
      </w:r>
      <w:r w:rsidRPr="00332AAB">
        <w:rPr>
          <w:rStyle w:val="Emphasis"/>
          <w:rFonts w:eastAsiaTheme="minorHAnsi"/>
          <w:i w:val="0"/>
          <w:iCs w:val="0"/>
          <w:sz w:val="20"/>
          <w:szCs w:val="20"/>
          <w:shd w:val="clear" w:color="auto" w:fill="FFFFFF"/>
        </w:rPr>
        <w:t xml:space="preserve"> 435 U.S. 519, 549</w:t>
      </w:r>
      <w:r w:rsidRPr="00332AAB">
        <w:rPr>
          <w:rStyle w:val="apple-converted-space"/>
          <w:sz w:val="20"/>
          <w:szCs w:val="20"/>
          <w:shd w:val="clear" w:color="auto" w:fill="FFFFFF"/>
        </w:rPr>
        <w:t> </w:t>
      </w:r>
      <w:r w:rsidRPr="00332AAB">
        <w:rPr>
          <w:sz w:val="20"/>
          <w:szCs w:val="20"/>
          <w:shd w:val="clear" w:color="auto" w:fill="FFFFFF"/>
        </w:rPr>
        <w:t>(</w:t>
      </w:r>
      <w:r w:rsidRPr="00332AAB">
        <w:rPr>
          <w:rStyle w:val="Emphasis"/>
          <w:rFonts w:eastAsiaTheme="minorHAnsi"/>
          <w:i w:val="0"/>
          <w:iCs w:val="0"/>
          <w:sz w:val="20"/>
          <w:szCs w:val="20"/>
          <w:shd w:val="clear" w:color="auto" w:fill="FFFFFF"/>
        </w:rPr>
        <w:t>1978</w:t>
      </w:r>
      <w:r w:rsidRPr="00332AAB">
        <w:rPr>
          <w:sz w:val="20"/>
          <w:szCs w:val="20"/>
          <w:shd w:val="clear" w:color="auto" w:fill="FFFFFF"/>
        </w:rPr>
        <w:t>).</w:t>
      </w:r>
    </w:p>
    <w:p w14:paraId="27AFDA11" w14:textId="77777777" w:rsidR="00E425F5" w:rsidRPr="00FD4DB0" w:rsidRDefault="00E425F5" w:rsidP="008246F1">
      <w:pPr>
        <w:pStyle w:val="FootnoteText"/>
        <w:contextualSpacing/>
        <w:rPr>
          <w:sz w:val="20"/>
          <w:szCs w:val="20"/>
        </w:rPr>
      </w:pPr>
    </w:p>
  </w:footnote>
  <w:footnote w:id="7">
    <w:p w14:paraId="204D7639" w14:textId="2B2E5CD4" w:rsidR="00E425F5" w:rsidRPr="00FD4DB0" w:rsidRDefault="00E425F5" w:rsidP="008246F1">
      <w:pPr>
        <w:pStyle w:val="FootnoteText"/>
        <w:contextualSpacing/>
        <w:rPr>
          <w:sz w:val="20"/>
          <w:szCs w:val="20"/>
        </w:rPr>
      </w:pPr>
      <w:r w:rsidRPr="00FD4DB0">
        <w:rPr>
          <w:rStyle w:val="FootnoteReference"/>
          <w:sz w:val="20"/>
          <w:szCs w:val="20"/>
        </w:rPr>
        <w:footnoteRef/>
      </w:r>
      <w:r w:rsidRPr="00FD4DB0">
        <w:rPr>
          <w:sz w:val="20"/>
          <w:szCs w:val="20"/>
        </w:rPr>
        <w:t xml:space="preserve"> </w:t>
      </w:r>
      <w:r w:rsidRPr="00E43158">
        <w:rPr>
          <w:i/>
          <w:sz w:val="20"/>
          <w:szCs w:val="20"/>
        </w:rPr>
        <w:t>See</w:t>
      </w:r>
      <w:r w:rsidRPr="00FD4DB0">
        <w:rPr>
          <w:sz w:val="20"/>
          <w:szCs w:val="20"/>
        </w:rPr>
        <w:t xml:space="preserve"> </w:t>
      </w:r>
      <w:r w:rsidRPr="001D142A">
        <w:rPr>
          <w:sz w:val="20"/>
          <w:szCs w:val="20"/>
        </w:rPr>
        <w:t xml:space="preserve">106 ABA </w:t>
      </w:r>
      <w:r w:rsidRPr="004D0A79">
        <w:rPr>
          <w:smallCaps/>
          <w:sz w:val="20"/>
          <w:szCs w:val="20"/>
        </w:rPr>
        <w:t>Ann. Rep</w:t>
      </w:r>
      <w:r w:rsidRPr="00435ACD">
        <w:rPr>
          <w:sz w:val="20"/>
          <w:szCs w:val="20"/>
        </w:rPr>
        <w:t>. 549</w:t>
      </w:r>
      <w:r>
        <w:rPr>
          <w:sz w:val="20"/>
          <w:szCs w:val="20"/>
        </w:rPr>
        <w:t>, 785</w:t>
      </w:r>
      <w:r w:rsidRPr="00435ACD">
        <w:rPr>
          <w:sz w:val="20"/>
          <w:szCs w:val="20"/>
        </w:rPr>
        <w:t xml:space="preserve"> (1981) (</w:t>
      </w:r>
      <w:r w:rsidRPr="00FD4DB0">
        <w:rPr>
          <w:sz w:val="20"/>
          <w:szCs w:val="20"/>
        </w:rPr>
        <w:t>1981 ABA Recommendation</w:t>
      </w:r>
      <w:r w:rsidRPr="00435ACD">
        <w:rPr>
          <w:sz w:val="20"/>
          <w:szCs w:val="20"/>
        </w:rPr>
        <w:t>)</w:t>
      </w:r>
      <w:r>
        <w:rPr>
          <w:sz w:val="20"/>
          <w:szCs w:val="20"/>
        </w:rPr>
        <w:t>.</w:t>
      </w:r>
    </w:p>
    <w:p w14:paraId="56BD3D73" w14:textId="77777777" w:rsidR="00E425F5" w:rsidRPr="00FD4DB0" w:rsidRDefault="00E425F5" w:rsidP="008246F1">
      <w:pPr>
        <w:pStyle w:val="FootnoteText"/>
        <w:contextualSpacing/>
        <w:rPr>
          <w:sz w:val="20"/>
          <w:szCs w:val="20"/>
        </w:rPr>
      </w:pPr>
    </w:p>
  </w:footnote>
  <w:footnote w:id="8">
    <w:p w14:paraId="6C3A0D88" w14:textId="192500E7" w:rsidR="00E425F5" w:rsidRPr="00FD4DB0" w:rsidRDefault="00E425F5" w:rsidP="00332AAB">
      <w:pPr>
        <w:pStyle w:val="FootnoteText"/>
        <w:contextualSpacing/>
        <w:rPr>
          <w:sz w:val="20"/>
          <w:szCs w:val="20"/>
        </w:rPr>
      </w:pPr>
      <w:r w:rsidRPr="00FD4DB0">
        <w:rPr>
          <w:rStyle w:val="FootnoteReference"/>
          <w:sz w:val="20"/>
          <w:szCs w:val="20"/>
        </w:rPr>
        <w:footnoteRef/>
      </w:r>
      <w:r w:rsidRPr="00FD4DB0">
        <w:rPr>
          <w:sz w:val="20"/>
          <w:szCs w:val="20"/>
        </w:rPr>
        <w:t xml:space="preserve"> </w:t>
      </w:r>
      <w:r>
        <w:rPr>
          <w:i/>
          <w:sz w:val="20"/>
          <w:szCs w:val="20"/>
        </w:rPr>
        <w:t>Id.</w:t>
      </w:r>
      <w:r w:rsidRPr="009427A8">
        <w:rPr>
          <w:sz w:val="20"/>
          <w:szCs w:val="20"/>
        </w:rPr>
        <w:t xml:space="preserve"> at</w:t>
      </w:r>
      <w:r w:rsidRPr="00FD4DB0">
        <w:rPr>
          <w:sz w:val="20"/>
          <w:szCs w:val="20"/>
        </w:rPr>
        <w:t xml:space="preserve"> ¶ 5(a) (recommending a 60-day minimum comment period).</w:t>
      </w:r>
    </w:p>
  </w:footnote>
  <w:footnote w:id="9">
    <w:p w14:paraId="0A260FBF" w14:textId="77777777" w:rsidR="00E425F5" w:rsidRPr="00FD4DB0" w:rsidRDefault="00E425F5" w:rsidP="006D6B7B">
      <w:pPr>
        <w:pStyle w:val="FootnoteText"/>
        <w:contextualSpacing/>
        <w:rPr>
          <w:sz w:val="20"/>
          <w:szCs w:val="20"/>
        </w:rPr>
      </w:pPr>
    </w:p>
    <w:p w14:paraId="7136D73E" w14:textId="3BA05BBC" w:rsidR="00E425F5" w:rsidRPr="00FD4DB0" w:rsidRDefault="00E425F5" w:rsidP="006D6B7B">
      <w:pPr>
        <w:pStyle w:val="FootnoteText"/>
        <w:contextualSpacing/>
        <w:rPr>
          <w:sz w:val="20"/>
          <w:szCs w:val="20"/>
        </w:rPr>
      </w:pPr>
      <w:r w:rsidRPr="00FD4DB0">
        <w:rPr>
          <w:rStyle w:val="FootnoteReference"/>
          <w:sz w:val="20"/>
          <w:szCs w:val="20"/>
        </w:rPr>
        <w:footnoteRef/>
      </w:r>
      <w:r w:rsidRPr="00FD4DB0">
        <w:rPr>
          <w:sz w:val="20"/>
          <w:szCs w:val="20"/>
        </w:rPr>
        <w:t xml:space="preserve"> E.O. 13563</w:t>
      </w:r>
      <w:r>
        <w:rPr>
          <w:sz w:val="20"/>
          <w:szCs w:val="20"/>
        </w:rPr>
        <w:t>, § 2(b), 76 Fed. Reg.</w:t>
      </w:r>
      <w:r w:rsidRPr="00FD4DB0">
        <w:rPr>
          <w:sz w:val="20"/>
          <w:szCs w:val="20"/>
        </w:rPr>
        <w:t xml:space="preserve"> </w:t>
      </w:r>
      <w:r>
        <w:rPr>
          <w:sz w:val="20"/>
          <w:szCs w:val="20"/>
        </w:rPr>
        <w:t>3821,</w:t>
      </w:r>
      <w:r w:rsidRPr="00FD4DB0">
        <w:rPr>
          <w:sz w:val="20"/>
          <w:szCs w:val="20"/>
        </w:rPr>
        <w:t xml:space="preserve"> 3821-22</w:t>
      </w:r>
      <w:r w:rsidRPr="001D142A">
        <w:rPr>
          <w:sz w:val="20"/>
          <w:szCs w:val="20"/>
        </w:rPr>
        <w:t xml:space="preserve"> </w:t>
      </w:r>
      <w:r>
        <w:rPr>
          <w:sz w:val="20"/>
          <w:szCs w:val="20"/>
        </w:rPr>
        <w:t>(Jan. 21, 2011) (p</w:t>
      </w:r>
      <w:r w:rsidRPr="00FD4DB0">
        <w:rPr>
          <w:sz w:val="20"/>
          <w:szCs w:val="20"/>
        </w:rPr>
        <w:t>roviding that</w:t>
      </w:r>
      <w:r>
        <w:rPr>
          <w:sz w:val="20"/>
          <w:szCs w:val="20"/>
        </w:rPr>
        <w:t>,</w:t>
      </w:r>
      <w:r w:rsidRPr="00FD4DB0">
        <w:rPr>
          <w:sz w:val="20"/>
          <w:szCs w:val="20"/>
        </w:rPr>
        <w:t xml:space="preserve"> “[t]o the extent feasible and permitted by law,” agencies should allow “a comment period that should generally be at least 60 days”</w:t>
      </w:r>
      <w:r>
        <w:rPr>
          <w:sz w:val="20"/>
          <w:szCs w:val="20"/>
        </w:rPr>
        <w:t>).</w:t>
      </w:r>
    </w:p>
  </w:footnote>
  <w:footnote w:id="10">
    <w:p w14:paraId="5FEC62F4" w14:textId="77777777" w:rsidR="00E425F5" w:rsidRPr="00FD4DB0" w:rsidRDefault="00E425F5" w:rsidP="006D6B7B">
      <w:pPr>
        <w:pStyle w:val="FootnoteText"/>
        <w:contextualSpacing/>
        <w:rPr>
          <w:sz w:val="20"/>
          <w:szCs w:val="20"/>
        </w:rPr>
      </w:pPr>
    </w:p>
    <w:p w14:paraId="0A9D072E" w14:textId="0AC9D539" w:rsidR="00E425F5" w:rsidRPr="00FD4DB0" w:rsidRDefault="00E425F5" w:rsidP="006D6B7B">
      <w:pPr>
        <w:pStyle w:val="FootnoteText"/>
        <w:contextualSpacing/>
        <w:rPr>
          <w:sz w:val="20"/>
          <w:szCs w:val="20"/>
        </w:rPr>
      </w:pPr>
      <w:r w:rsidRPr="00FD4DB0">
        <w:rPr>
          <w:rStyle w:val="FootnoteReference"/>
          <w:sz w:val="20"/>
          <w:szCs w:val="20"/>
        </w:rPr>
        <w:footnoteRef/>
      </w:r>
      <w:r w:rsidRPr="00FD4DB0">
        <w:rPr>
          <w:sz w:val="20"/>
          <w:szCs w:val="20"/>
        </w:rPr>
        <w:t xml:space="preserve"> ACUS Recommendation 2011-2, ¶ 2, 76 Fed. Reg. 48789, 48791 (</w:t>
      </w:r>
      <w:r>
        <w:rPr>
          <w:sz w:val="20"/>
          <w:szCs w:val="20"/>
        </w:rPr>
        <w:t xml:space="preserve">Aug. 9, </w:t>
      </w:r>
      <w:r w:rsidRPr="00FD4DB0">
        <w:rPr>
          <w:sz w:val="20"/>
          <w:szCs w:val="20"/>
        </w:rPr>
        <w:t>2011) (suggesting that agencies should as a general matter allow comment periods of at least 60 days for “significant regulatory actions” and at least 30 days for all other rules).</w:t>
      </w:r>
    </w:p>
  </w:footnote>
  <w:footnote w:id="11">
    <w:p w14:paraId="7E555B55" w14:textId="332285AB" w:rsidR="00E425F5" w:rsidRPr="00332AAB" w:rsidRDefault="00E425F5" w:rsidP="00686214">
      <w:pPr>
        <w:pStyle w:val="NormalWeb"/>
        <w:rPr>
          <w:rFonts w:ascii="Times New Roman" w:hAnsi="Times New Roman"/>
        </w:rPr>
      </w:pPr>
      <w:r w:rsidRPr="00457D61">
        <w:rPr>
          <w:rStyle w:val="FootnoteReference"/>
          <w:rFonts w:ascii="Times New Roman" w:hAnsi="Times New Roman"/>
        </w:rPr>
        <w:footnoteRef/>
      </w:r>
      <w:r w:rsidRPr="00457D61">
        <w:rPr>
          <w:rFonts w:ascii="Times New Roman" w:hAnsi="Times New Roman"/>
        </w:rPr>
        <w:t xml:space="preserve"> </w:t>
      </w:r>
      <w:r w:rsidRPr="00457D61">
        <w:rPr>
          <w:rFonts w:ascii="Times New Roman" w:hAnsi="Times New Roman"/>
          <w:i/>
        </w:rPr>
        <w:t>See</w:t>
      </w:r>
      <w:r w:rsidRPr="00457D61">
        <w:rPr>
          <w:rFonts w:ascii="Times New Roman" w:hAnsi="Times New Roman"/>
        </w:rPr>
        <w:t xml:space="preserve"> Stephen J. Balla, </w:t>
      </w:r>
      <w:r w:rsidRPr="00686214">
        <w:rPr>
          <w:rStyle w:val="FootnoteTextChar"/>
          <w:rFonts w:eastAsiaTheme="minorEastAsia"/>
          <w:sz w:val="20"/>
          <w:szCs w:val="20"/>
        </w:rPr>
        <w:t xml:space="preserve">Brief Report on Economically Significant Rules and the Duration of Comment Periods </w:t>
      </w:r>
      <w:r w:rsidRPr="00457D61">
        <w:rPr>
          <w:rFonts w:ascii="Times New Roman" w:hAnsi="Times New Roman"/>
        </w:rPr>
        <w:t>(April 19, 2011) (supplemental consultant report in support of ACUS Recommendation 2011-2) at 2.</w:t>
      </w:r>
    </w:p>
  </w:footnote>
  <w:footnote w:id="12">
    <w:p w14:paraId="03A4B0EC" w14:textId="1CA17CC2" w:rsidR="00E425F5" w:rsidRPr="00686214" w:rsidRDefault="00E425F5" w:rsidP="00F8016C">
      <w:pPr>
        <w:pStyle w:val="FootnoteText"/>
        <w:rPr>
          <w:sz w:val="20"/>
          <w:szCs w:val="20"/>
        </w:rPr>
      </w:pPr>
      <w:r w:rsidRPr="00A77FB8">
        <w:rPr>
          <w:rStyle w:val="FootnoteReference"/>
          <w:sz w:val="20"/>
          <w:szCs w:val="20"/>
        </w:rPr>
        <w:footnoteRef/>
      </w:r>
      <w:r w:rsidRPr="00A77FB8">
        <w:rPr>
          <w:sz w:val="20"/>
          <w:szCs w:val="20"/>
        </w:rPr>
        <w:t xml:space="preserve"> 5 U.S.C. § 804(2) (defining a “major rule” as “</w:t>
      </w:r>
      <w:r w:rsidRPr="001B2538">
        <w:rPr>
          <w:color w:val="333333"/>
          <w:sz w:val="20"/>
          <w:szCs w:val="20"/>
          <w:shd w:val="clear" w:color="auto" w:fill="FFFFFF"/>
        </w:rPr>
        <w:t>any rule that the Administrator of the Office of Information and Regulatory Affairs of the Office of Management and Budget finds has resulted in or is likely to result in—</w:t>
      </w:r>
      <w:bookmarkStart w:id="1" w:name="2_A"/>
      <w:bookmarkEnd w:id="1"/>
      <w:r w:rsidRPr="001B2538">
        <w:rPr>
          <w:b/>
          <w:bCs/>
          <w:color w:val="333333"/>
          <w:sz w:val="20"/>
          <w:szCs w:val="20"/>
        </w:rPr>
        <w:t xml:space="preserve">(A) </w:t>
      </w:r>
      <w:r w:rsidRPr="001B2538">
        <w:rPr>
          <w:color w:val="333333"/>
          <w:sz w:val="20"/>
          <w:szCs w:val="20"/>
        </w:rPr>
        <w:t>an annual effect on the economy of $100,000,000 or more;</w:t>
      </w:r>
      <w:bookmarkStart w:id="2" w:name="2_B"/>
      <w:bookmarkEnd w:id="2"/>
      <w:r w:rsidRPr="001B2538">
        <w:rPr>
          <w:color w:val="333333"/>
          <w:sz w:val="20"/>
          <w:szCs w:val="20"/>
        </w:rPr>
        <w:t xml:space="preserve"> </w:t>
      </w:r>
      <w:r w:rsidRPr="001B2538">
        <w:rPr>
          <w:b/>
          <w:bCs/>
          <w:color w:val="333333"/>
          <w:sz w:val="20"/>
          <w:szCs w:val="20"/>
        </w:rPr>
        <w:t xml:space="preserve">(B) </w:t>
      </w:r>
      <w:r w:rsidRPr="001B2538">
        <w:rPr>
          <w:color w:val="333333"/>
          <w:sz w:val="20"/>
          <w:szCs w:val="20"/>
        </w:rPr>
        <w:t xml:space="preserve">a major increase in costs or prices for consumers, individual industries, Federal, State, or local government agencies, or geographic regions; or </w:t>
      </w:r>
      <w:bookmarkStart w:id="3" w:name="2_C"/>
      <w:bookmarkEnd w:id="3"/>
      <w:r w:rsidRPr="001B2538">
        <w:rPr>
          <w:b/>
          <w:bCs/>
          <w:color w:val="333333"/>
          <w:sz w:val="20"/>
          <w:szCs w:val="20"/>
        </w:rPr>
        <w:t xml:space="preserve">(C) </w:t>
      </w:r>
      <w:r w:rsidRPr="001B2538">
        <w:rPr>
          <w:color w:val="333333"/>
          <w:sz w:val="20"/>
          <w:szCs w:val="20"/>
        </w:rPr>
        <w:t>significant adverse effects on competition, employment, investment, productivity, innovation, or on the ability of United States-based enterprises to compete with foreign-based enterprises</w:t>
      </w:r>
      <w:r w:rsidRPr="00A77FB8">
        <w:rPr>
          <w:color w:val="333333"/>
          <w:sz w:val="20"/>
          <w:szCs w:val="20"/>
        </w:rPr>
        <w:t xml:space="preserve"> in domestic and export markets</w:t>
      </w:r>
      <w:r>
        <w:rPr>
          <w:color w:val="333333"/>
          <w:sz w:val="20"/>
          <w:szCs w:val="20"/>
        </w:rPr>
        <w:t>.”).</w:t>
      </w:r>
    </w:p>
  </w:footnote>
  <w:footnote w:id="13">
    <w:p w14:paraId="45292FB3" w14:textId="77777777" w:rsidR="00E425F5" w:rsidRPr="00FD4DB0" w:rsidRDefault="00E425F5" w:rsidP="006D6B7B">
      <w:pPr>
        <w:pStyle w:val="FootnoteText"/>
        <w:contextualSpacing/>
        <w:rPr>
          <w:sz w:val="20"/>
          <w:szCs w:val="20"/>
        </w:rPr>
      </w:pPr>
    </w:p>
    <w:p w14:paraId="5817C483" w14:textId="77777777" w:rsidR="00E425F5" w:rsidRPr="00FD4DB0" w:rsidRDefault="00E425F5" w:rsidP="006D6B7B">
      <w:pPr>
        <w:pStyle w:val="FootnoteText"/>
        <w:contextualSpacing/>
        <w:rPr>
          <w:sz w:val="20"/>
          <w:szCs w:val="20"/>
        </w:rPr>
      </w:pPr>
      <w:r w:rsidRPr="00FD4DB0">
        <w:rPr>
          <w:rStyle w:val="FootnoteReference"/>
          <w:sz w:val="20"/>
          <w:szCs w:val="20"/>
        </w:rPr>
        <w:footnoteRef/>
      </w:r>
      <w:r w:rsidRPr="00FD4DB0">
        <w:rPr>
          <w:sz w:val="20"/>
          <w:szCs w:val="20"/>
        </w:rPr>
        <w:t xml:space="preserve"> 5 U.S.C. § 553(d)(3).</w:t>
      </w:r>
    </w:p>
    <w:p w14:paraId="22DAB14E" w14:textId="77777777" w:rsidR="00E425F5" w:rsidRPr="00FD4DB0" w:rsidRDefault="00E425F5" w:rsidP="006D6B7B">
      <w:pPr>
        <w:pStyle w:val="FootnoteText"/>
        <w:contextualSpacing/>
        <w:rPr>
          <w:sz w:val="20"/>
          <w:szCs w:val="20"/>
        </w:rPr>
      </w:pPr>
    </w:p>
  </w:footnote>
  <w:footnote w:id="14">
    <w:p w14:paraId="3AD0BD66" w14:textId="09641109" w:rsidR="00E425F5" w:rsidRPr="00FD4DB0" w:rsidRDefault="00E425F5" w:rsidP="006D6B7B">
      <w:pPr>
        <w:pStyle w:val="FootnoteText"/>
        <w:contextualSpacing/>
        <w:rPr>
          <w:sz w:val="20"/>
          <w:szCs w:val="20"/>
          <w:shd w:val="clear" w:color="auto" w:fill="FFFFFF"/>
        </w:rPr>
      </w:pPr>
      <w:r w:rsidRPr="00FD4DB0">
        <w:rPr>
          <w:rStyle w:val="FootnoteReference"/>
          <w:sz w:val="20"/>
          <w:szCs w:val="20"/>
        </w:rPr>
        <w:footnoteRef/>
      </w:r>
      <w:r w:rsidRPr="00FD4DB0">
        <w:rPr>
          <w:sz w:val="20"/>
          <w:szCs w:val="20"/>
        </w:rPr>
        <w:t xml:space="preserve"> 5 U.S.C. § 551(4) (</w:t>
      </w:r>
      <w:r>
        <w:rPr>
          <w:sz w:val="20"/>
          <w:szCs w:val="20"/>
        </w:rPr>
        <w:t>“</w:t>
      </w:r>
      <w:r>
        <w:rPr>
          <w:sz w:val="20"/>
          <w:szCs w:val="20"/>
          <w:shd w:val="clear" w:color="auto" w:fill="FFFFFF"/>
        </w:rPr>
        <w:t>‘</w:t>
      </w:r>
      <w:r w:rsidRPr="00FD4DB0">
        <w:rPr>
          <w:sz w:val="20"/>
          <w:szCs w:val="20"/>
          <w:shd w:val="clear" w:color="auto" w:fill="FFFFFF"/>
        </w:rPr>
        <w:t>rule</w:t>
      </w:r>
      <w:r>
        <w:rPr>
          <w:sz w:val="20"/>
          <w:szCs w:val="20"/>
          <w:shd w:val="clear" w:color="auto" w:fill="FFFFFF"/>
        </w:rPr>
        <w:t>’</w:t>
      </w:r>
      <w:r w:rsidRPr="00FD4DB0">
        <w:rPr>
          <w:sz w:val="20"/>
          <w:szCs w:val="20"/>
          <w:shd w:val="clear" w:color="auto" w:fill="FFFFFF"/>
        </w:rPr>
        <w:t xml:space="preserve"> means the whole or a part of an agency statement of general or particular applicability and future effect designed to implement, interpret, or prescribe law or policy or describing the organization, procedure, or practice requirements of an agency and includes the approval or prescription for the future of rates, wages, corporate or financial structures or reorganizations thereof, prices, facilities, appliances, services or allowances therefor or of valuations, costs, or accounting, or practices bearing on any of the foregoing”).</w:t>
      </w:r>
    </w:p>
    <w:p w14:paraId="74FED781" w14:textId="77777777" w:rsidR="00E425F5" w:rsidRPr="00FD4DB0" w:rsidRDefault="00E425F5" w:rsidP="006D6B7B">
      <w:pPr>
        <w:pStyle w:val="FootnoteText"/>
        <w:contextualSpacing/>
        <w:rPr>
          <w:sz w:val="20"/>
          <w:szCs w:val="20"/>
        </w:rPr>
      </w:pPr>
    </w:p>
  </w:footnote>
  <w:footnote w:id="15">
    <w:p w14:paraId="6F9E6DD1" w14:textId="626B59A4" w:rsidR="00E425F5" w:rsidRPr="00FD4DB0" w:rsidRDefault="00E425F5" w:rsidP="006D6B7B">
      <w:pPr>
        <w:pStyle w:val="FootnoteText"/>
        <w:rPr>
          <w:sz w:val="20"/>
          <w:szCs w:val="20"/>
        </w:rPr>
      </w:pPr>
      <w:r w:rsidRPr="00FD4DB0">
        <w:rPr>
          <w:rStyle w:val="FootnoteReference"/>
          <w:sz w:val="20"/>
          <w:szCs w:val="20"/>
        </w:rPr>
        <w:footnoteRef/>
      </w:r>
      <w:r w:rsidRPr="00FD4DB0">
        <w:rPr>
          <w:sz w:val="20"/>
          <w:szCs w:val="20"/>
        </w:rPr>
        <w:t xml:space="preserve"> </w:t>
      </w:r>
      <w:r w:rsidRPr="00FD4DB0">
        <w:rPr>
          <w:i/>
          <w:sz w:val="20"/>
          <w:szCs w:val="20"/>
        </w:rPr>
        <w:t>See</w:t>
      </w:r>
      <w:r w:rsidRPr="00FD4DB0">
        <w:rPr>
          <w:sz w:val="20"/>
          <w:szCs w:val="20"/>
        </w:rPr>
        <w:t xml:space="preserve"> Bowen v. Georgetown Univ. Hosp., 488 U.S. 204, 208 (1988) (“[A] statutory grant of legislative rulemaking authority will not, as a general matter, be understood to encompass the power to promulgate retroactive rules unless that power is conveyed by Congress in express terms.”).</w:t>
      </w:r>
    </w:p>
    <w:p w14:paraId="4B5AE6E8" w14:textId="77777777" w:rsidR="00E425F5" w:rsidRPr="00FD4DB0" w:rsidRDefault="00E425F5" w:rsidP="006D6B7B">
      <w:pPr>
        <w:pStyle w:val="FootnoteText"/>
        <w:rPr>
          <w:sz w:val="20"/>
          <w:szCs w:val="20"/>
        </w:rPr>
      </w:pPr>
    </w:p>
  </w:footnote>
  <w:footnote w:id="16">
    <w:p w14:paraId="2BE7D1CE" w14:textId="77777777" w:rsidR="00E425F5" w:rsidRPr="00FD4DB0" w:rsidRDefault="00E425F5" w:rsidP="006D6B7B">
      <w:pPr>
        <w:pStyle w:val="FootnoteText"/>
        <w:rPr>
          <w:sz w:val="20"/>
          <w:szCs w:val="20"/>
        </w:rPr>
      </w:pPr>
      <w:r w:rsidRPr="00FD4DB0">
        <w:rPr>
          <w:rStyle w:val="FootnoteReference"/>
          <w:sz w:val="20"/>
          <w:szCs w:val="20"/>
        </w:rPr>
        <w:footnoteRef/>
      </w:r>
      <w:r w:rsidRPr="00FD4DB0">
        <w:rPr>
          <w:sz w:val="20"/>
          <w:szCs w:val="20"/>
        </w:rPr>
        <w:t xml:space="preserve"> </w:t>
      </w:r>
      <w:r w:rsidRPr="00FD4DB0">
        <w:rPr>
          <w:i/>
          <w:sz w:val="20"/>
          <w:szCs w:val="20"/>
        </w:rPr>
        <w:t>See, e.g.</w:t>
      </w:r>
      <w:r w:rsidRPr="00FD4DB0">
        <w:rPr>
          <w:sz w:val="20"/>
          <w:szCs w:val="20"/>
        </w:rPr>
        <w:t xml:space="preserve">, Antonin Scalia, </w:t>
      </w:r>
      <w:r w:rsidRPr="00FD4DB0">
        <w:rPr>
          <w:i/>
          <w:sz w:val="20"/>
          <w:szCs w:val="20"/>
        </w:rPr>
        <w:t>Vermont Yankee: The APA, the D.C. Circuit, and the Supreme Court</w:t>
      </w:r>
      <w:r w:rsidRPr="00FD4DB0">
        <w:rPr>
          <w:sz w:val="20"/>
          <w:szCs w:val="20"/>
        </w:rPr>
        <w:t xml:space="preserve">, 1978 </w:t>
      </w:r>
      <w:r w:rsidRPr="00FD4DB0">
        <w:rPr>
          <w:smallCaps/>
          <w:sz w:val="20"/>
          <w:szCs w:val="20"/>
        </w:rPr>
        <w:t>Sup. Ct. Rev</w:t>
      </w:r>
      <w:r w:rsidRPr="00FD4DB0">
        <w:rPr>
          <w:sz w:val="20"/>
          <w:szCs w:val="20"/>
        </w:rPr>
        <w:t>. 345, 383.</w:t>
      </w:r>
    </w:p>
    <w:p w14:paraId="77688E72" w14:textId="77777777" w:rsidR="00E425F5" w:rsidRPr="00FD4DB0" w:rsidRDefault="00E425F5" w:rsidP="006D6B7B">
      <w:pPr>
        <w:pStyle w:val="FootnoteText"/>
        <w:rPr>
          <w:sz w:val="20"/>
          <w:szCs w:val="20"/>
        </w:rPr>
      </w:pPr>
    </w:p>
  </w:footnote>
  <w:footnote w:id="17">
    <w:p w14:paraId="012D979D" w14:textId="0B4AF259" w:rsidR="00E425F5" w:rsidRPr="00FD4DB0" w:rsidRDefault="00E425F5" w:rsidP="006D6B7B">
      <w:pPr>
        <w:pStyle w:val="FootnoteText"/>
        <w:rPr>
          <w:sz w:val="20"/>
          <w:szCs w:val="20"/>
        </w:rPr>
      </w:pPr>
      <w:r w:rsidRPr="00FD4DB0">
        <w:rPr>
          <w:rStyle w:val="FootnoteReference"/>
          <w:sz w:val="20"/>
          <w:szCs w:val="20"/>
        </w:rPr>
        <w:footnoteRef/>
      </w:r>
      <w:r w:rsidRPr="00FD4DB0">
        <w:rPr>
          <w:sz w:val="20"/>
          <w:szCs w:val="20"/>
        </w:rPr>
        <w:t xml:space="preserve"> Model State Admini</w:t>
      </w:r>
      <w:r>
        <w:rPr>
          <w:sz w:val="20"/>
          <w:szCs w:val="20"/>
        </w:rPr>
        <w:t>strative Procedure Act § 1-102(30) (2010</w:t>
      </w:r>
      <w:r w:rsidRPr="00FD4DB0">
        <w:rPr>
          <w:sz w:val="20"/>
          <w:szCs w:val="20"/>
        </w:rPr>
        <w:t xml:space="preserve">); </w:t>
      </w:r>
      <w:r w:rsidRPr="00FD4DB0">
        <w:rPr>
          <w:i/>
          <w:sz w:val="20"/>
          <w:szCs w:val="20"/>
        </w:rPr>
        <w:t>The 12 ABA Recommendations for Improved Procedures for Federal Agencies</w:t>
      </w:r>
      <w:r w:rsidRPr="00FD4DB0">
        <w:rPr>
          <w:sz w:val="20"/>
          <w:szCs w:val="20"/>
        </w:rPr>
        <w:t xml:space="preserve">, 24 </w:t>
      </w:r>
      <w:r w:rsidRPr="00FD4DB0">
        <w:rPr>
          <w:smallCaps/>
          <w:sz w:val="20"/>
          <w:szCs w:val="20"/>
        </w:rPr>
        <w:t>Admin. L. Rev</w:t>
      </w:r>
      <w:r w:rsidRPr="00FD4DB0">
        <w:rPr>
          <w:sz w:val="20"/>
          <w:szCs w:val="20"/>
        </w:rPr>
        <w:t xml:space="preserve">. 389, 389-91 (1972); </w:t>
      </w:r>
      <w:r w:rsidRPr="00FD4DB0">
        <w:rPr>
          <w:i/>
          <w:sz w:val="20"/>
          <w:szCs w:val="20"/>
        </w:rPr>
        <w:t>Statement of the Administrative Conference on ABA Resolution No. 1 Proposing to Amend the Definition of “Rule” in the Administrative Procedure Act</w:t>
      </w:r>
      <w:r w:rsidRPr="00FD4DB0">
        <w:rPr>
          <w:sz w:val="20"/>
          <w:szCs w:val="20"/>
        </w:rPr>
        <w:t>, 3 A.C.U.S. 61-62 (1973).</w:t>
      </w:r>
    </w:p>
    <w:p w14:paraId="4D1E209A" w14:textId="77777777" w:rsidR="00E425F5" w:rsidRPr="00FD4DB0" w:rsidRDefault="00E425F5" w:rsidP="006D6B7B">
      <w:pPr>
        <w:pStyle w:val="FootnoteText"/>
        <w:rPr>
          <w:sz w:val="20"/>
          <w:szCs w:val="20"/>
        </w:rPr>
      </w:pPr>
    </w:p>
  </w:footnote>
  <w:footnote w:id="18">
    <w:p w14:paraId="76AE5DF4" w14:textId="65E0B911" w:rsidR="00E425F5" w:rsidRDefault="00E425F5">
      <w:pPr>
        <w:pStyle w:val="FootnoteText"/>
        <w:rPr>
          <w:sz w:val="20"/>
          <w:szCs w:val="20"/>
          <w:shd w:val="clear" w:color="auto" w:fill="FFFFFF"/>
        </w:rPr>
      </w:pPr>
      <w:r w:rsidRPr="00457D61">
        <w:rPr>
          <w:rStyle w:val="FootnoteReference"/>
          <w:sz w:val="20"/>
          <w:szCs w:val="20"/>
        </w:rPr>
        <w:footnoteRef/>
      </w:r>
      <w:r w:rsidRPr="00457D61">
        <w:rPr>
          <w:sz w:val="20"/>
          <w:szCs w:val="20"/>
        </w:rPr>
        <w:t xml:space="preserve"> </w:t>
      </w:r>
      <w:proofErr w:type="gramStart"/>
      <w:r w:rsidRPr="00457D61">
        <w:rPr>
          <w:rFonts w:eastAsiaTheme="minorHAnsi" w:cstheme="minorBidi"/>
          <w:i/>
          <w:sz w:val="20"/>
          <w:szCs w:val="20"/>
          <w:shd w:val="clear" w:color="auto" w:fill="FFFFFF"/>
        </w:rPr>
        <w:t>See, e.g., </w:t>
      </w:r>
      <w:r w:rsidRPr="00457D61">
        <w:rPr>
          <w:iCs/>
          <w:sz w:val="20"/>
          <w:szCs w:val="20"/>
          <w:shd w:val="clear" w:color="auto" w:fill="FFFFFF"/>
        </w:rPr>
        <w:t>Perez v Mortgage Bankers Ass’n</w:t>
      </w:r>
      <w:r w:rsidRPr="00457D61">
        <w:rPr>
          <w:sz w:val="20"/>
          <w:szCs w:val="20"/>
          <w:shd w:val="clear" w:color="auto" w:fill="FFFFFF"/>
        </w:rPr>
        <w:t>, 135 S. Ct. 1199, 1204 &amp; n.1 (2015) (</w:t>
      </w:r>
      <w:r w:rsidR="0041218E">
        <w:rPr>
          <w:sz w:val="20"/>
          <w:szCs w:val="20"/>
          <w:shd w:val="clear" w:color="auto" w:fill="FFFFFF"/>
        </w:rPr>
        <w:t>“</w:t>
      </w:r>
      <w:r w:rsidRPr="00457D61">
        <w:rPr>
          <w:sz w:val="20"/>
          <w:szCs w:val="20"/>
          <w:shd w:val="clear" w:color="auto" w:fill="FFFFFF"/>
        </w:rPr>
        <w:t>[The term . . . ‘interpretive rule’</w:t>
      </w:r>
      <w:r w:rsidR="0041218E">
        <w:rPr>
          <w:sz w:val="20"/>
          <w:szCs w:val="20"/>
          <w:shd w:val="clear" w:color="auto" w:fill="FFFFFF"/>
        </w:rPr>
        <w:t>]</w:t>
      </w:r>
      <w:r w:rsidRPr="00457D61">
        <w:rPr>
          <w:sz w:val="20"/>
          <w:szCs w:val="20"/>
          <w:shd w:val="clear" w:color="auto" w:fill="FFFFFF"/>
        </w:rPr>
        <w:t xml:space="preserve"> is the more common phrasing today, and the one we use throughout this opinion.”).</w:t>
      </w:r>
      <w:proofErr w:type="gramEnd"/>
    </w:p>
    <w:p w14:paraId="76C77DF6" w14:textId="77777777" w:rsidR="00E425F5" w:rsidRPr="00457D61" w:rsidRDefault="00E425F5">
      <w:pPr>
        <w:pStyle w:val="FootnoteText"/>
        <w:rPr>
          <w:sz w:val="20"/>
          <w:szCs w:val="20"/>
        </w:rPr>
      </w:pPr>
    </w:p>
  </w:footnote>
  <w:footnote w:id="19">
    <w:p w14:paraId="21E4EE16" w14:textId="09E10A22" w:rsidR="00E425F5" w:rsidRPr="00FD4DB0" w:rsidRDefault="00E425F5">
      <w:pPr>
        <w:pStyle w:val="FootnoteText"/>
        <w:rPr>
          <w:sz w:val="20"/>
          <w:szCs w:val="20"/>
        </w:rPr>
      </w:pPr>
      <w:r w:rsidRPr="00FD4DB0">
        <w:rPr>
          <w:rStyle w:val="FootnoteReference"/>
          <w:sz w:val="20"/>
          <w:szCs w:val="20"/>
        </w:rPr>
        <w:footnoteRef/>
      </w:r>
      <w:r w:rsidRPr="00FD4DB0">
        <w:rPr>
          <w:sz w:val="20"/>
          <w:szCs w:val="20"/>
        </w:rPr>
        <w:t xml:space="preserve"> ACUS Recommendation 2012-2</w:t>
      </w:r>
      <w:r>
        <w:rPr>
          <w:sz w:val="20"/>
          <w:szCs w:val="20"/>
        </w:rPr>
        <w:t>, 77 Fed. Reg. 47802 (Aug. 10, 2012)</w:t>
      </w:r>
      <w:r w:rsidRPr="00FD4DB0">
        <w:rPr>
          <w:sz w:val="20"/>
          <w:szCs w:val="20"/>
        </w:rPr>
        <w:t>.</w:t>
      </w:r>
    </w:p>
  </w:footnote>
  <w:footnote w:id="20">
    <w:p w14:paraId="2368344B" w14:textId="77777777" w:rsidR="00E425F5" w:rsidRPr="00332AAB" w:rsidRDefault="00E425F5">
      <w:pPr>
        <w:pStyle w:val="FootnoteText"/>
        <w:rPr>
          <w:sz w:val="20"/>
          <w:szCs w:val="20"/>
        </w:rPr>
      </w:pPr>
      <w:r w:rsidRPr="00332AAB">
        <w:rPr>
          <w:rStyle w:val="FootnoteReference"/>
          <w:sz w:val="20"/>
          <w:szCs w:val="20"/>
        </w:rPr>
        <w:footnoteRef/>
      </w:r>
      <w:r w:rsidRPr="00332AAB">
        <w:rPr>
          <w:sz w:val="20"/>
          <w:szCs w:val="20"/>
        </w:rPr>
        <w:t xml:space="preserve"> 5 U.S.C. </w:t>
      </w:r>
      <w:r w:rsidRPr="002E257B">
        <w:rPr>
          <w:sz w:val="20"/>
          <w:szCs w:val="20"/>
        </w:rPr>
        <w:t>§ 610.</w:t>
      </w:r>
    </w:p>
    <w:p w14:paraId="6FAADF6F" w14:textId="77777777" w:rsidR="00E425F5" w:rsidRDefault="00E425F5">
      <w:pPr>
        <w:pStyle w:val="FootnoteText"/>
      </w:pPr>
    </w:p>
  </w:footnote>
  <w:footnote w:id="21">
    <w:p w14:paraId="5181C1B6" w14:textId="28C0D83E" w:rsidR="00E425F5" w:rsidRDefault="00E425F5">
      <w:pPr>
        <w:pStyle w:val="FootnoteText"/>
        <w:rPr>
          <w:sz w:val="20"/>
          <w:szCs w:val="20"/>
        </w:rPr>
      </w:pPr>
      <w:r w:rsidRPr="007A02BE">
        <w:rPr>
          <w:rStyle w:val="FootnoteReference"/>
          <w:sz w:val="20"/>
          <w:szCs w:val="20"/>
        </w:rPr>
        <w:footnoteRef/>
      </w:r>
      <w:r>
        <w:rPr>
          <w:sz w:val="20"/>
          <w:szCs w:val="20"/>
        </w:rPr>
        <w:t xml:space="preserve"> </w:t>
      </w:r>
      <w:r w:rsidRPr="00686214">
        <w:rPr>
          <w:i/>
          <w:sz w:val="20"/>
          <w:szCs w:val="20"/>
        </w:rPr>
        <w:t>S</w:t>
      </w:r>
      <w:r>
        <w:rPr>
          <w:i/>
          <w:sz w:val="20"/>
          <w:szCs w:val="20"/>
        </w:rPr>
        <w:t>upra not</w:t>
      </w:r>
      <w:r w:rsidRPr="00686214">
        <w:rPr>
          <w:i/>
          <w:sz w:val="20"/>
          <w:szCs w:val="20"/>
        </w:rPr>
        <w:t>e</w:t>
      </w:r>
      <w:r>
        <w:rPr>
          <w:i/>
          <w:sz w:val="20"/>
          <w:szCs w:val="20"/>
        </w:rPr>
        <w:t xml:space="preserve"> </w:t>
      </w:r>
      <w:r>
        <w:rPr>
          <w:i/>
          <w:sz w:val="20"/>
          <w:szCs w:val="20"/>
        </w:rPr>
        <w:fldChar w:fldCharType="begin"/>
      </w:r>
      <w:r>
        <w:rPr>
          <w:i/>
          <w:sz w:val="20"/>
          <w:szCs w:val="20"/>
        </w:rPr>
        <w:instrText xml:space="preserve"> NOTEREF _Ref437259530 \h </w:instrText>
      </w:r>
      <w:r>
        <w:rPr>
          <w:i/>
          <w:sz w:val="20"/>
          <w:szCs w:val="20"/>
        </w:rPr>
      </w:r>
      <w:r>
        <w:rPr>
          <w:i/>
          <w:sz w:val="20"/>
          <w:szCs w:val="20"/>
        </w:rPr>
        <w:fldChar w:fldCharType="separate"/>
      </w:r>
      <w:r w:rsidR="001A52F8">
        <w:rPr>
          <w:i/>
          <w:sz w:val="20"/>
          <w:szCs w:val="20"/>
        </w:rPr>
        <w:t>11</w:t>
      </w:r>
      <w:r>
        <w:rPr>
          <w:i/>
          <w:sz w:val="20"/>
          <w:szCs w:val="20"/>
        </w:rPr>
        <w:fldChar w:fldCharType="end"/>
      </w:r>
      <w:r>
        <w:rPr>
          <w:sz w:val="20"/>
          <w:szCs w:val="20"/>
        </w:rPr>
        <w:t xml:space="preserve"> </w:t>
      </w:r>
    </w:p>
    <w:p w14:paraId="497F7546" w14:textId="77777777" w:rsidR="00E425F5" w:rsidRPr="007A02BE" w:rsidRDefault="00E425F5">
      <w:pPr>
        <w:pStyle w:val="FootnoteText"/>
        <w:rPr>
          <w:sz w:val="20"/>
          <w:szCs w:val="20"/>
        </w:rPr>
      </w:pPr>
    </w:p>
  </w:footnote>
  <w:footnote w:id="22">
    <w:p w14:paraId="53B5D434" w14:textId="2D5C811C" w:rsidR="00E425F5" w:rsidRDefault="00E425F5">
      <w:pPr>
        <w:pStyle w:val="FootnoteText"/>
        <w:rPr>
          <w:sz w:val="20"/>
          <w:szCs w:val="20"/>
        </w:rPr>
      </w:pPr>
      <w:r w:rsidRPr="007A02BE">
        <w:rPr>
          <w:rStyle w:val="FootnoteReference"/>
          <w:sz w:val="20"/>
          <w:szCs w:val="20"/>
        </w:rPr>
        <w:footnoteRef/>
      </w:r>
      <w:r w:rsidRPr="007A02BE">
        <w:rPr>
          <w:sz w:val="20"/>
          <w:szCs w:val="20"/>
        </w:rPr>
        <w:t xml:space="preserve"> ACUS Recommendation 2014-5, ¶ 2</w:t>
      </w:r>
      <w:r>
        <w:rPr>
          <w:sz w:val="20"/>
          <w:szCs w:val="20"/>
        </w:rPr>
        <w:t>, 79 Fed. Reg. 75114, 75116</w:t>
      </w:r>
      <w:r w:rsidRPr="007A02BE">
        <w:rPr>
          <w:sz w:val="20"/>
          <w:szCs w:val="20"/>
        </w:rPr>
        <w:t xml:space="preserve"> (</w:t>
      </w:r>
      <w:r>
        <w:rPr>
          <w:sz w:val="20"/>
          <w:szCs w:val="20"/>
        </w:rPr>
        <w:t xml:space="preserve">Dec. 17, </w:t>
      </w:r>
      <w:r w:rsidRPr="007A02BE">
        <w:rPr>
          <w:sz w:val="20"/>
          <w:szCs w:val="20"/>
        </w:rPr>
        <w:t>2014).</w:t>
      </w:r>
    </w:p>
    <w:p w14:paraId="39C2E681" w14:textId="77777777" w:rsidR="00E425F5" w:rsidRPr="007A02BE" w:rsidRDefault="00E425F5">
      <w:pPr>
        <w:pStyle w:val="FootnoteText"/>
        <w:rPr>
          <w:sz w:val="20"/>
          <w:szCs w:val="20"/>
        </w:rPr>
      </w:pPr>
    </w:p>
  </w:footnote>
  <w:footnote w:id="23">
    <w:p w14:paraId="3DE49D7F" w14:textId="7FBC1E90" w:rsidR="00E425F5" w:rsidRPr="007A02BE" w:rsidRDefault="00E425F5">
      <w:pPr>
        <w:pStyle w:val="FootnoteText"/>
        <w:rPr>
          <w:sz w:val="20"/>
          <w:szCs w:val="20"/>
        </w:rPr>
      </w:pPr>
      <w:r w:rsidRPr="007A02BE">
        <w:rPr>
          <w:rStyle w:val="FootnoteReference"/>
          <w:sz w:val="20"/>
          <w:szCs w:val="20"/>
        </w:rPr>
        <w:footnoteRef/>
      </w:r>
      <w:r w:rsidRPr="007A02BE">
        <w:rPr>
          <w:sz w:val="20"/>
          <w:szCs w:val="20"/>
        </w:rPr>
        <w:t xml:space="preserve"> Memorandum for Heads of Executive Departments and Agencies from Cass Sunstein entitled “Final Plans for Retrospective Analysis of Existing Rules,” at 2 (June 14, 2011).</w:t>
      </w:r>
    </w:p>
  </w:footnote>
  <w:footnote w:id="24">
    <w:p w14:paraId="55F9ABF3" w14:textId="65EDCE62" w:rsidR="00E425F5" w:rsidRDefault="00E425F5">
      <w:pPr>
        <w:pStyle w:val="FootnoteText"/>
        <w:rPr>
          <w:sz w:val="20"/>
          <w:szCs w:val="20"/>
        </w:rPr>
      </w:pPr>
      <w:r w:rsidRPr="00457D61">
        <w:rPr>
          <w:rStyle w:val="FootnoteReference"/>
          <w:sz w:val="20"/>
        </w:rPr>
        <w:footnoteRef/>
      </w:r>
      <w:r w:rsidRPr="00457D61">
        <w:rPr>
          <w:sz w:val="20"/>
        </w:rPr>
        <w:t xml:space="preserve"> </w:t>
      </w:r>
      <w:r w:rsidRPr="00E43158">
        <w:rPr>
          <w:sz w:val="20"/>
          <w:szCs w:val="20"/>
        </w:rPr>
        <w:t>Executive Order 12866</w:t>
      </w:r>
      <w:r>
        <w:rPr>
          <w:sz w:val="20"/>
          <w:szCs w:val="20"/>
        </w:rPr>
        <w:t>,</w:t>
      </w:r>
      <w:r w:rsidRPr="00E43158">
        <w:rPr>
          <w:sz w:val="20"/>
          <w:szCs w:val="20"/>
        </w:rPr>
        <w:t xml:space="preserve"> </w:t>
      </w:r>
      <w:r>
        <w:rPr>
          <w:sz w:val="20"/>
          <w:szCs w:val="20"/>
        </w:rPr>
        <w:t>58 Fed. Reg. 58715 (</w:t>
      </w:r>
      <w:r w:rsidRPr="00E43158">
        <w:rPr>
          <w:sz w:val="20"/>
          <w:szCs w:val="20"/>
        </w:rPr>
        <w:t>Sept. 30, 1993).</w:t>
      </w:r>
    </w:p>
    <w:p w14:paraId="6E814ED3" w14:textId="77777777" w:rsidR="00E425F5" w:rsidRPr="00332AAB" w:rsidRDefault="00E425F5">
      <w:pPr>
        <w:pStyle w:val="FootnoteText"/>
        <w:rPr>
          <w:sz w:val="20"/>
        </w:rPr>
      </w:pPr>
    </w:p>
  </w:footnote>
  <w:footnote w:id="25">
    <w:p w14:paraId="4AF28EA9" w14:textId="0603FE18" w:rsidR="00E425F5" w:rsidRPr="007A02BE" w:rsidRDefault="00E425F5">
      <w:pPr>
        <w:pStyle w:val="FootnoteText"/>
        <w:rPr>
          <w:sz w:val="20"/>
          <w:szCs w:val="20"/>
        </w:rPr>
      </w:pPr>
      <w:r w:rsidRPr="007A02BE">
        <w:rPr>
          <w:rStyle w:val="FootnoteReference"/>
          <w:sz w:val="20"/>
          <w:szCs w:val="20"/>
        </w:rPr>
        <w:footnoteRef/>
      </w:r>
      <w:r w:rsidRPr="007A02BE">
        <w:rPr>
          <w:sz w:val="20"/>
          <w:szCs w:val="20"/>
        </w:rPr>
        <w:t xml:space="preserve"> ACUS Recommendation 2015-1</w:t>
      </w:r>
      <w:r>
        <w:rPr>
          <w:sz w:val="20"/>
          <w:szCs w:val="20"/>
        </w:rPr>
        <w:t xml:space="preserve">, 80 Fed. Reg. 36757 </w:t>
      </w:r>
      <w:r w:rsidRPr="007A02BE">
        <w:rPr>
          <w:sz w:val="20"/>
          <w:szCs w:val="20"/>
        </w:rPr>
        <w:t>(</w:t>
      </w:r>
      <w:r>
        <w:rPr>
          <w:sz w:val="20"/>
          <w:szCs w:val="20"/>
        </w:rPr>
        <w:t xml:space="preserve">June 26, </w:t>
      </w:r>
      <w:r w:rsidRPr="007A02BE">
        <w:rPr>
          <w:sz w:val="20"/>
          <w:szCs w:val="20"/>
        </w:rPr>
        <w:t>2015).</w:t>
      </w:r>
    </w:p>
  </w:footnote>
  <w:footnote w:id="26">
    <w:p w14:paraId="53A7510D" w14:textId="4F62DC6D" w:rsidR="00E425F5" w:rsidRDefault="00E425F5" w:rsidP="006226B1">
      <w:pPr>
        <w:pStyle w:val="FootnoteText"/>
        <w:rPr>
          <w:sz w:val="20"/>
          <w:szCs w:val="20"/>
        </w:rPr>
      </w:pPr>
      <w:r w:rsidRPr="00FD4DB0">
        <w:rPr>
          <w:rStyle w:val="FootnoteReference"/>
          <w:sz w:val="20"/>
          <w:szCs w:val="20"/>
        </w:rPr>
        <w:footnoteRef/>
      </w:r>
      <w:r w:rsidRPr="00FD4DB0">
        <w:rPr>
          <w:sz w:val="20"/>
          <w:szCs w:val="20"/>
        </w:rPr>
        <w:t xml:space="preserve"> ACUS Recommendation 69-8, 38 Fed. Reg. 19782 (1969)</w:t>
      </w:r>
      <w:r>
        <w:rPr>
          <w:sz w:val="20"/>
          <w:szCs w:val="20"/>
        </w:rPr>
        <w:t>.</w:t>
      </w:r>
    </w:p>
    <w:p w14:paraId="4D79A95B" w14:textId="77777777" w:rsidR="00E425F5" w:rsidRPr="00FD4DB0" w:rsidRDefault="00E425F5" w:rsidP="006226B1">
      <w:pPr>
        <w:pStyle w:val="FootnoteText"/>
        <w:rPr>
          <w:sz w:val="20"/>
          <w:szCs w:val="20"/>
        </w:rPr>
      </w:pPr>
    </w:p>
  </w:footnote>
  <w:footnote w:id="27">
    <w:p w14:paraId="54DD4C4B" w14:textId="11EC0F85" w:rsidR="00E425F5" w:rsidRDefault="00E425F5" w:rsidP="006226B1">
      <w:pPr>
        <w:pStyle w:val="FootnoteText"/>
        <w:rPr>
          <w:sz w:val="20"/>
          <w:szCs w:val="20"/>
        </w:rPr>
      </w:pPr>
      <w:r w:rsidRPr="00FD4DB0">
        <w:rPr>
          <w:rStyle w:val="FootnoteReference"/>
          <w:sz w:val="20"/>
          <w:szCs w:val="20"/>
        </w:rPr>
        <w:footnoteRef/>
      </w:r>
      <w:r w:rsidRPr="00FD4DB0">
        <w:rPr>
          <w:sz w:val="20"/>
          <w:szCs w:val="20"/>
        </w:rPr>
        <w:t xml:space="preserve"> 1981 ABA Recommendation,</w:t>
      </w:r>
      <w:r w:rsidRPr="00E43158">
        <w:rPr>
          <w:i/>
          <w:sz w:val="20"/>
          <w:szCs w:val="20"/>
        </w:rPr>
        <w:t xml:space="preserve"> supra</w:t>
      </w:r>
      <w:r w:rsidRPr="00FD4DB0">
        <w:rPr>
          <w:sz w:val="20"/>
          <w:szCs w:val="20"/>
        </w:rPr>
        <w:t xml:space="preserve"> note </w:t>
      </w:r>
      <w:r>
        <w:rPr>
          <w:sz w:val="20"/>
          <w:szCs w:val="20"/>
        </w:rPr>
        <w:t>6</w:t>
      </w:r>
      <w:r w:rsidRPr="00FD4DB0">
        <w:rPr>
          <w:sz w:val="20"/>
          <w:szCs w:val="20"/>
        </w:rPr>
        <w:t>, at 783-84, 788.</w:t>
      </w:r>
    </w:p>
    <w:p w14:paraId="1EAF2FAB" w14:textId="77777777" w:rsidR="00E425F5" w:rsidRPr="00FD4DB0" w:rsidRDefault="00E425F5" w:rsidP="006226B1">
      <w:pPr>
        <w:pStyle w:val="FootnoteText"/>
        <w:rPr>
          <w:sz w:val="20"/>
          <w:szCs w:val="20"/>
        </w:rPr>
      </w:pPr>
    </w:p>
  </w:footnote>
  <w:footnote w:id="28">
    <w:p w14:paraId="47BBD90F" w14:textId="77777777" w:rsidR="00E425F5" w:rsidRPr="00332AAB" w:rsidRDefault="00E425F5">
      <w:pPr>
        <w:pStyle w:val="FootnoteText"/>
        <w:rPr>
          <w:sz w:val="20"/>
          <w:szCs w:val="20"/>
        </w:rPr>
      </w:pPr>
      <w:r w:rsidRPr="00332AAB">
        <w:rPr>
          <w:rStyle w:val="FootnoteReference"/>
          <w:sz w:val="20"/>
          <w:szCs w:val="20"/>
        </w:rPr>
        <w:footnoteRef/>
      </w:r>
      <w:r w:rsidRPr="00332AAB">
        <w:rPr>
          <w:sz w:val="20"/>
          <w:szCs w:val="20"/>
        </w:rPr>
        <w:t xml:space="preserve"> 78 </w:t>
      </w:r>
      <w:hyperlink r:id="rId1" w:history="1">
        <w:r w:rsidRPr="00332AAB">
          <w:rPr>
            <w:rStyle w:val="Hyperlink"/>
            <w:rFonts w:eastAsiaTheme="minorHAnsi"/>
            <w:color w:val="auto"/>
            <w:sz w:val="20"/>
            <w:szCs w:val="20"/>
            <w:u w:val="none"/>
            <w:shd w:val="clear" w:color="auto" w:fill="F9F9F9"/>
          </w:rPr>
          <w:t>Fed. Reg. 64194</w:t>
        </w:r>
      </w:hyperlink>
      <w:r w:rsidRPr="00332AAB">
        <w:rPr>
          <w:color w:val="000000"/>
          <w:sz w:val="20"/>
          <w:szCs w:val="20"/>
          <w:shd w:val="clear" w:color="auto" w:fill="F9F9F9"/>
        </w:rPr>
        <w:t xml:space="preserve"> (</w:t>
      </w:r>
      <w:r>
        <w:rPr>
          <w:color w:val="000000"/>
          <w:sz w:val="20"/>
          <w:szCs w:val="20"/>
          <w:shd w:val="clear" w:color="auto" w:fill="F9F9F9"/>
        </w:rPr>
        <w:t xml:space="preserve">Oct. 28, </w:t>
      </w:r>
      <w:r w:rsidRPr="00332AAB">
        <w:rPr>
          <w:color w:val="000000"/>
          <w:sz w:val="20"/>
          <w:szCs w:val="20"/>
          <w:shd w:val="clear" w:color="auto" w:fill="F9F9F9"/>
        </w:rPr>
        <w:t>2013)</w:t>
      </w:r>
    </w:p>
    <w:p w14:paraId="0C82EBBF" w14:textId="77777777" w:rsidR="00E425F5" w:rsidRDefault="00E425F5">
      <w:pPr>
        <w:pStyle w:val="FootnoteText"/>
      </w:pPr>
    </w:p>
  </w:footnote>
  <w:footnote w:id="29">
    <w:p w14:paraId="5017BDB0" w14:textId="61E68841" w:rsidR="00E425F5" w:rsidRDefault="00E425F5">
      <w:pPr>
        <w:pStyle w:val="FootnoteText"/>
        <w:rPr>
          <w:sz w:val="20"/>
          <w:szCs w:val="20"/>
        </w:rPr>
      </w:pPr>
      <w:r w:rsidRPr="00FD4DB0">
        <w:rPr>
          <w:rStyle w:val="FootnoteReference"/>
          <w:sz w:val="20"/>
          <w:szCs w:val="20"/>
        </w:rPr>
        <w:footnoteRef/>
      </w:r>
      <w:r w:rsidRPr="00FD4DB0">
        <w:rPr>
          <w:sz w:val="20"/>
          <w:szCs w:val="20"/>
        </w:rPr>
        <w:t xml:space="preserve"> 1981 ABA Recommendation at 784, 788-89; ACUS Recommendation 73-5, 39 Fed. Reg. 4847 (1974).</w:t>
      </w:r>
    </w:p>
    <w:p w14:paraId="41C48671" w14:textId="77777777" w:rsidR="00E425F5" w:rsidRPr="00FD4DB0" w:rsidRDefault="00E425F5">
      <w:pPr>
        <w:pStyle w:val="FootnoteText"/>
        <w:rPr>
          <w:sz w:val="20"/>
          <w:szCs w:val="20"/>
        </w:rPr>
      </w:pPr>
    </w:p>
  </w:footnote>
  <w:footnote w:id="30">
    <w:p w14:paraId="24F3B5FF" w14:textId="77777777" w:rsidR="00E425F5" w:rsidRPr="00332AAB" w:rsidRDefault="00E425F5">
      <w:pPr>
        <w:pStyle w:val="FootnoteText"/>
        <w:rPr>
          <w:sz w:val="20"/>
          <w:szCs w:val="20"/>
          <w:shd w:val="clear" w:color="auto" w:fill="FFFFFF"/>
        </w:rPr>
      </w:pPr>
      <w:r w:rsidRPr="007A02BE">
        <w:rPr>
          <w:rStyle w:val="FootnoteReference"/>
          <w:sz w:val="20"/>
          <w:szCs w:val="20"/>
        </w:rPr>
        <w:footnoteRef/>
      </w:r>
      <w:r w:rsidRPr="007A02BE">
        <w:rPr>
          <w:sz w:val="20"/>
          <w:szCs w:val="20"/>
        </w:rPr>
        <w:t xml:space="preserve"> </w:t>
      </w:r>
      <w:r w:rsidRPr="00457D61">
        <w:rPr>
          <w:sz w:val="20"/>
          <w:shd w:val="clear" w:color="auto" w:fill="FFFFFF"/>
        </w:rPr>
        <w:t>5 U.S.C. § 553(b)(3)(B).</w:t>
      </w:r>
    </w:p>
    <w:p w14:paraId="152900D9" w14:textId="281C1B17" w:rsidR="00E425F5" w:rsidRPr="007A02BE" w:rsidRDefault="00E425F5">
      <w:pPr>
        <w:pStyle w:val="FootnoteText"/>
        <w:rPr>
          <w:sz w:val="20"/>
          <w:szCs w:val="20"/>
        </w:rPr>
      </w:pPr>
    </w:p>
  </w:footnote>
  <w:footnote w:id="31">
    <w:p w14:paraId="43A89CFE" w14:textId="5947F68E" w:rsidR="00E425F5" w:rsidRDefault="00E425F5">
      <w:pPr>
        <w:pStyle w:val="FootnoteText"/>
        <w:rPr>
          <w:sz w:val="20"/>
          <w:szCs w:val="20"/>
        </w:rPr>
      </w:pPr>
      <w:r w:rsidRPr="00E43158">
        <w:rPr>
          <w:rStyle w:val="FootnoteReference"/>
          <w:sz w:val="20"/>
          <w:szCs w:val="20"/>
        </w:rPr>
        <w:footnoteRef/>
      </w:r>
      <w:r w:rsidRPr="00E43158">
        <w:rPr>
          <w:sz w:val="20"/>
          <w:szCs w:val="20"/>
        </w:rPr>
        <w:t xml:space="preserve"> </w:t>
      </w:r>
      <w:r w:rsidRPr="00E43158">
        <w:rPr>
          <w:i/>
          <w:sz w:val="20"/>
          <w:szCs w:val="20"/>
        </w:rPr>
        <w:t>See</w:t>
      </w:r>
      <w:r w:rsidRPr="00E43158">
        <w:rPr>
          <w:sz w:val="20"/>
          <w:szCs w:val="20"/>
        </w:rPr>
        <w:t xml:space="preserve"> H.R. 185, § 3 (proposed 5 U.S.C. § 553(g)(2)(B)) (2015).  This sanction would not be triggered where notice and comment was “unnecessary.”</w:t>
      </w:r>
    </w:p>
    <w:p w14:paraId="2B66764B" w14:textId="77777777" w:rsidR="00E425F5" w:rsidRPr="00E43158" w:rsidRDefault="00E425F5">
      <w:pPr>
        <w:pStyle w:val="FootnoteText"/>
        <w:rPr>
          <w:sz w:val="20"/>
          <w:szCs w:val="20"/>
        </w:rPr>
      </w:pPr>
    </w:p>
  </w:footnote>
  <w:footnote w:id="32">
    <w:p w14:paraId="19FD495A" w14:textId="77777777" w:rsidR="00E425F5" w:rsidRDefault="00E425F5" w:rsidP="00DD2472">
      <w:pPr>
        <w:pStyle w:val="FootnoteText"/>
        <w:rPr>
          <w:sz w:val="20"/>
          <w:szCs w:val="20"/>
        </w:rPr>
      </w:pPr>
      <w:r w:rsidRPr="00E43158">
        <w:rPr>
          <w:rStyle w:val="FootnoteReference"/>
          <w:sz w:val="20"/>
          <w:szCs w:val="20"/>
        </w:rPr>
        <w:footnoteRef/>
      </w:r>
      <w:r w:rsidRPr="00E43158">
        <w:rPr>
          <w:sz w:val="20"/>
          <w:szCs w:val="20"/>
        </w:rPr>
        <w:t xml:space="preserve"> 5 U.S.C. § 706(1) (authorizing reviewing courts to “compel agency action unlawfully withheld or unreasonably delayed”).</w:t>
      </w:r>
      <w:r w:rsidRPr="00457D61">
        <w:rPr>
          <w:sz w:val="20"/>
        </w:rPr>
        <w:t xml:space="preserve"> </w:t>
      </w:r>
    </w:p>
    <w:p w14:paraId="1F653B3C" w14:textId="00196621" w:rsidR="00E425F5" w:rsidRPr="00332AAB" w:rsidRDefault="00E425F5" w:rsidP="00DD2472">
      <w:pPr>
        <w:pStyle w:val="FootnoteText"/>
        <w:rPr>
          <w:sz w:val="20"/>
        </w:rPr>
      </w:pPr>
    </w:p>
  </w:footnote>
  <w:footnote w:id="33">
    <w:p w14:paraId="2F48E170" w14:textId="77777777" w:rsidR="00E425F5" w:rsidRDefault="00E425F5">
      <w:pPr>
        <w:pStyle w:val="FootnoteText"/>
        <w:rPr>
          <w:sz w:val="20"/>
          <w:szCs w:val="20"/>
        </w:rPr>
      </w:pPr>
      <w:r w:rsidRPr="00457D61">
        <w:rPr>
          <w:rStyle w:val="FootnoteReference"/>
          <w:sz w:val="20"/>
        </w:rPr>
        <w:footnoteRef/>
      </w:r>
      <w:r w:rsidRPr="00457D61">
        <w:rPr>
          <w:sz w:val="20"/>
        </w:rPr>
        <w:t xml:space="preserve"> These include 5 U.S.C. § 706(1) and actions for mandamus.</w:t>
      </w:r>
    </w:p>
    <w:p w14:paraId="54DFCAD7" w14:textId="25C7A076" w:rsidR="00E425F5" w:rsidRPr="00332AAB" w:rsidRDefault="00E425F5">
      <w:pPr>
        <w:pStyle w:val="FootnoteText"/>
        <w:rPr>
          <w:sz w:val="20"/>
        </w:rPr>
      </w:pPr>
    </w:p>
  </w:footnote>
  <w:footnote w:id="34">
    <w:p w14:paraId="1D749B93" w14:textId="38CA7E14" w:rsidR="00E425F5" w:rsidRPr="00457D61" w:rsidRDefault="00E425F5" w:rsidP="00E43158">
      <w:pPr>
        <w:rPr>
          <w:rFonts w:ascii="Times New Roman" w:hAnsi="Times New Roman"/>
          <w:sz w:val="20"/>
        </w:rPr>
      </w:pPr>
      <w:r w:rsidRPr="00E43158">
        <w:rPr>
          <w:rStyle w:val="FootnoteReference"/>
          <w:rFonts w:ascii="Times New Roman" w:hAnsi="Times New Roman"/>
          <w:sz w:val="20"/>
          <w:szCs w:val="20"/>
        </w:rPr>
        <w:footnoteRef/>
      </w:r>
      <w:r w:rsidRPr="00E43158">
        <w:rPr>
          <w:rFonts w:ascii="Times New Roman" w:hAnsi="Times New Roman" w:cs="Times New Roman"/>
          <w:sz w:val="20"/>
          <w:szCs w:val="20"/>
        </w:rPr>
        <w:t xml:space="preserve"> </w:t>
      </w:r>
      <w:r w:rsidRPr="00E43158">
        <w:rPr>
          <w:rStyle w:val="FootnoteTextChar"/>
          <w:rFonts w:eastAsiaTheme="minorEastAsia"/>
          <w:i/>
          <w:sz w:val="20"/>
          <w:szCs w:val="20"/>
        </w:rPr>
        <w:t>See</w:t>
      </w:r>
      <w:r w:rsidRPr="00E43158">
        <w:rPr>
          <w:rStyle w:val="FootnoteTextChar"/>
          <w:rFonts w:eastAsiaTheme="minorEastAsia"/>
          <w:sz w:val="20"/>
          <w:szCs w:val="20"/>
        </w:rPr>
        <w:t xml:space="preserve"> ACUS </w:t>
      </w:r>
      <w:r w:rsidRPr="00FB63B7">
        <w:rPr>
          <w:rStyle w:val="FootnoteTextChar"/>
          <w:rFonts w:eastAsiaTheme="minorEastAsia"/>
          <w:sz w:val="20"/>
          <w:szCs w:val="20"/>
        </w:rPr>
        <w:t>Recommendation 76-3,</w:t>
      </w:r>
      <w:r w:rsidRPr="00E43158">
        <w:rPr>
          <w:rFonts w:ascii="Times New Roman" w:hAnsi="Times New Roman" w:cs="Times New Roman"/>
          <w:sz w:val="20"/>
          <w:szCs w:val="20"/>
        </w:rPr>
        <w:t xml:space="preserve"> </w:t>
      </w:r>
      <w:r>
        <w:rPr>
          <w:rFonts w:ascii="Times New Roman" w:hAnsi="Times New Roman" w:cs="Times New Roman"/>
          <w:sz w:val="20"/>
          <w:szCs w:val="20"/>
        </w:rPr>
        <w:t xml:space="preserve">¶ 1(a), </w:t>
      </w:r>
      <w:r w:rsidRPr="00E43158">
        <w:rPr>
          <w:rFonts w:ascii="Times New Roman" w:hAnsi="Times New Roman" w:cs="Times New Roman"/>
          <w:sz w:val="20"/>
          <w:szCs w:val="20"/>
        </w:rPr>
        <w:t xml:space="preserve">41 Fed. Reg. 29654 (July 19, 1976) </w:t>
      </w:r>
      <w:r w:rsidRPr="00E43158">
        <w:rPr>
          <w:rStyle w:val="FootnoteTextChar"/>
          <w:rFonts w:eastAsiaTheme="minorEastAsia"/>
          <w:sz w:val="20"/>
          <w:szCs w:val="20"/>
        </w:rPr>
        <w:t>(recommending a second comment period in proceedings in which comments or the agency’s responses thereto “present new and important issues or serious conflicts of data”</w:t>
      </w:r>
      <w:r w:rsidRPr="00FB63B7">
        <w:rPr>
          <w:rStyle w:val="FootnoteTextChar"/>
          <w:rFonts w:eastAsiaTheme="minorEastAsia"/>
          <w:sz w:val="20"/>
          <w:szCs w:val="20"/>
        </w:rPr>
        <w:t>); ACUS Recommendation 2011-2</w:t>
      </w:r>
      <w:r>
        <w:rPr>
          <w:rStyle w:val="FootnoteTextChar"/>
          <w:rFonts w:eastAsiaTheme="minorEastAsia"/>
          <w:sz w:val="20"/>
          <w:szCs w:val="20"/>
        </w:rPr>
        <w:t xml:space="preserve">, ¶ 6, </w:t>
      </w:r>
      <w:r w:rsidRPr="00E43158">
        <w:rPr>
          <w:rFonts w:ascii="Times New Roman" w:hAnsi="Times New Roman" w:cs="Times New Roman"/>
          <w:sz w:val="20"/>
          <w:szCs w:val="20"/>
        </w:rPr>
        <w:t xml:space="preserve">76 Fed. Reg. </w:t>
      </w:r>
      <w:r>
        <w:rPr>
          <w:rFonts w:ascii="Times New Roman" w:hAnsi="Times New Roman" w:cs="Times New Roman"/>
          <w:sz w:val="20"/>
          <w:szCs w:val="20"/>
        </w:rPr>
        <w:t xml:space="preserve">at </w:t>
      </w:r>
      <w:r w:rsidRPr="00E43158">
        <w:rPr>
          <w:rFonts w:ascii="Times New Roman" w:hAnsi="Times New Roman" w:cs="Times New Roman"/>
          <w:sz w:val="20"/>
          <w:szCs w:val="20"/>
        </w:rPr>
        <w:t xml:space="preserve">48789 </w:t>
      </w:r>
      <w:r w:rsidRPr="00FB63B7">
        <w:rPr>
          <w:rStyle w:val="FootnoteTextChar"/>
          <w:rFonts w:eastAsiaTheme="minorEastAsia"/>
          <w:sz w:val="20"/>
          <w:szCs w:val="20"/>
        </w:rPr>
        <w:t>(“</w:t>
      </w:r>
      <w:r w:rsidRPr="00E43158">
        <w:rPr>
          <w:rFonts w:ascii="Times New Roman" w:hAnsi="Times New Roman" w:cs="Times New Roman"/>
          <w:sz w:val="20"/>
          <w:szCs w:val="20"/>
        </w:rPr>
        <w:t>Where appropriate, agencies should make use of reply comment periods or other opportunities for receiving public input on submitted comments, after all comments have been posted.”).</w:t>
      </w:r>
    </w:p>
    <w:p w14:paraId="4F992C6E" w14:textId="77777777" w:rsidR="00E425F5" w:rsidRPr="00332AAB" w:rsidRDefault="00E425F5" w:rsidP="00E43158">
      <w:pPr>
        <w:rPr>
          <w:rFonts w:ascii="Times New Roman" w:hAnsi="Times New Roman"/>
          <w:sz w:val="20"/>
        </w:rPr>
      </w:pPr>
    </w:p>
  </w:footnote>
  <w:footnote w:id="35">
    <w:p w14:paraId="1706F446" w14:textId="4B538C99" w:rsidR="00E425F5" w:rsidRPr="00332AAB" w:rsidRDefault="00E425F5">
      <w:pPr>
        <w:pStyle w:val="FootnoteText"/>
        <w:rPr>
          <w:sz w:val="20"/>
        </w:rPr>
      </w:pPr>
      <w:r w:rsidRPr="00E43158">
        <w:rPr>
          <w:rStyle w:val="FootnoteReference"/>
          <w:sz w:val="20"/>
          <w:szCs w:val="20"/>
        </w:rPr>
        <w:footnoteRef/>
      </w:r>
      <w:r w:rsidRPr="00E43158">
        <w:rPr>
          <w:sz w:val="20"/>
          <w:szCs w:val="20"/>
        </w:rPr>
        <w:t xml:space="preserve"> </w:t>
      </w:r>
      <w:r w:rsidRPr="00E43158">
        <w:rPr>
          <w:i/>
          <w:sz w:val="20"/>
          <w:szCs w:val="20"/>
        </w:rPr>
        <w:t>See</w:t>
      </w:r>
      <w:r w:rsidRPr="00E43158">
        <w:rPr>
          <w:sz w:val="20"/>
          <w:szCs w:val="20"/>
        </w:rPr>
        <w:t xml:space="preserve"> Stephen J. Balla, </w:t>
      </w:r>
      <w:r w:rsidRPr="00E43158">
        <w:rPr>
          <w:rFonts w:hint="eastAsia"/>
          <w:sz w:val="20"/>
          <w:szCs w:val="20"/>
        </w:rPr>
        <w:t>Public Commenting on Federal Agency Regulations: Research on Current Practices and Recommendations to the Administrative Conference of the United States (March 15, 2011) (consultant report in support of ACUS Recommendation 2011-2)</w:t>
      </w:r>
      <w:r w:rsidRPr="00E43158">
        <w:rPr>
          <w:sz w:val="20"/>
          <w:szCs w:val="20"/>
        </w:rPr>
        <w:t xml:space="preserve"> at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C1240" w14:textId="11ECB433" w:rsidR="00A13D41" w:rsidRPr="00423E41" w:rsidRDefault="00A13D41" w:rsidP="00A13D41">
    <w:pPr>
      <w:pStyle w:val="Header"/>
      <w:rPr>
        <w:rFonts w:ascii="Arial Black" w:hAnsi="Arial Black"/>
        <w:sz w:val="44"/>
        <w:szCs w:val="44"/>
      </w:rPr>
    </w:pPr>
    <w:r>
      <w:rPr>
        <w:rFonts w:ascii="Arial Black" w:hAnsi="Arial Black"/>
        <w:sz w:val="44"/>
        <w:szCs w:val="44"/>
      </w:rPr>
      <w:t>106B</w:t>
    </w:r>
  </w:p>
  <w:p w14:paraId="0F0FA1F6" w14:textId="77777777" w:rsidR="00A13D41" w:rsidRDefault="00A13D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D56FA" w14:textId="18551F30" w:rsidR="00A13D41" w:rsidRPr="00A13D41" w:rsidRDefault="00A13D41" w:rsidP="00A13D41">
    <w:pPr>
      <w:pStyle w:val="Header"/>
      <w:jc w:val="right"/>
      <w:rPr>
        <w:rFonts w:ascii="Arial Black" w:hAnsi="Arial Black"/>
        <w:sz w:val="44"/>
        <w:szCs w:val="44"/>
      </w:rPr>
    </w:pPr>
    <w:r>
      <w:rPr>
        <w:rFonts w:ascii="Arial Black" w:hAnsi="Arial Black"/>
        <w:sz w:val="44"/>
        <w:szCs w:val="44"/>
      </w:rPr>
      <w:t>106B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4B2EF" w14:textId="6C8863C9" w:rsidR="00E425F5" w:rsidRPr="00423E41" w:rsidRDefault="00E425F5" w:rsidP="00A13D41">
    <w:pPr>
      <w:pStyle w:val="Header"/>
      <w:jc w:val="right"/>
      <w:rPr>
        <w:rFonts w:ascii="Arial Black" w:hAnsi="Arial Black"/>
        <w:sz w:val="44"/>
        <w:szCs w:val="44"/>
      </w:rPr>
    </w:pPr>
    <w:r>
      <w:rPr>
        <w:rFonts w:ascii="Arial Black" w:hAnsi="Arial Black"/>
        <w:sz w:val="44"/>
        <w:szCs w:val="44"/>
      </w:rPr>
      <w:t>10</w:t>
    </w:r>
    <w:r w:rsidR="00A13D41">
      <w:rPr>
        <w:rFonts w:ascii="Arial Black" w:hAnsi="Arial Black"/>
        <w:sz w:val="44"/>
        <w:szCs w:val="44"/>
      </w:rPr>
      <w:t>6</w:t>
    </w:r>
    <w:r>
      <w:rPr>
        <w:rFonts w:ascii="Arial Black" w:hAnsi="Arial Black"/>
        <w:sz w:val="44"/>
        <w:szCs w:val="44"/>
      </w:rPr>
      <w:t>B</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378F5" w14:textId="382E4894" w:rsidR="00A13D41" w:rsidRPr="00423E41" w:rsidRDefault="00A13D41" w:rsidP="00A13D41">
    <w:pPr>
      <w:pStyle w:val="Header"/>
      <w:rPr>
        <w:rFonts w:ascii="Arial Black" w:hAnsi="Arial Black"/>
        <w:sz w:val="44"/>
        <w:szCs w:val="44"/>
      </w:rPr>
    </w:pPr>
    <w:r>
      <w:rPr>
        <w:rFonts w:ascii="Arial Black" w:hAnsi="Arial Black"/>
        <w:sz w:val="44"/>
        <w:szCs w:val="44"/>
      </w:rPr>
      <w:t>106B</w:t>
    </w:r>
  </w:p>
  <w:p w14:paraId="5423FC69" w14:textId="77777777" w:rsidR="00A13D41" w:rsidRDefault="00A13D4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724D6" w14:textId="27B6F262" w:rsidR="00A13D41" w:rsidRPr="00423E41" w:rsidRDefault="00A13D41" w:rsidP="00A13D41">
    <w:pPr>
      <w:pStyle w:val="Header"/>
      <w:jc w:val="right"/>
      <w:rPr>
        <w:rFonts w:ascii="Arial Black" w:hAnsi="Arial Black"/>
        <w:sz w:val="44"/>
        <w:szCs w:val="44"/>
      </w:rPr>
    </w:pPr>
    <w:r>
      <w:rPr>
        <w:rFonts w:ascii="Arial Black" w:hAnsi="Arial Black"/>
        <w:sz w:val="44"/>
        <w:szCs w:val="44"/>
      </w:rPr>
      <w:t>106B</w:t>
    </w:r>
  </w:p>
  <w:p w14:paraId="1133F4C2" w14:textId="77777777" w:rsidR="00E425F5" w:rsidRPr="00007CA5" w:rsidRDefault="00E425F5">
    <w:pPr>
      <w:pStyle w:val="Header"/>
      <w:rPr>
        <w:rFonts w:ascii="Times New Roman" w:hAnsi="Times New Roma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4D595" w14:textId="7A76DAF8" w:rsidR="00A13D41" w:rsidRPr="00423E41" w:rsidRDefault="00A13D41" w:rsidP="00A13D41">
    <w:pPr>
      <w:pStyle w:val="Header"/>
      <w:rPr>
        <w:rFonts w:ascii="Arial Black" w:hAnsi="Arial Black"/>
        <w:sz w:val="44"/>
        <w:szCs w:val="44"/>
      </w:rPr>
    </w:pPr>
    <w:r>
      <w:rPr>
        <w:rFonts w:ascii="Arial Black" w:hAnsi="Arial Black"/>
        <w:sz w:val="44"/>
        <w:szCs w:val="44"/>
      </w:rPr>
      <w:t>10</w:t>
    </w:r>
    <w:r w:rsidR="001A52F8">
      <w:rPr>
        <w:rFonts w:ascii="Arial Black" w:hAnsi="Arial Black"/>
        <w:sz w:val="44"/>
        <w:szCs w:val="44"/>
      </w:rPr>
      <w:t>6</w:t>
    </w:r>
    <w:r>
      <w:rPr>
        <w:rFonts w:ascii="Arial Black" w:hAnsi="Arial Black"/>
        <w:sz w:val="44"/>
        <w:szCs w:val="44"/>
      </w:rPr>
      <w:t>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F30457A"/>
    <w:multiLevelType w:val="hybridMultilevel"/>
    <w:tmpl w:val="27348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C05E1E"/>
    <w:multiLevelType w:val="hybridMultilevel"/>
    <w:tmpl w:val="CBA06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003395"/>
    <w:multiLevelType w:val="hybridMultilevel"/>
    <w:tmpl w:val="4234233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4C6F714F"/>
    <w:multiLevelType w:val="hybridMultilevel"/>
    <w:tmpl w:val="488EC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6220BC"/>
    <w:multiLevelType w:val="multilevel"/>
    <w:tmpl w:val="2DC2E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383333B"/>
    <w:multiLevelType w:val="hybridMultilevel"/>
    <w:tmpl w:val="369672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B056D4"/>
    <w:multiLevelType w:val="hybridMultilevel"/>
    <w:tmpl w:val="7DC0B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C23993"/>
    <w:multiLevelType w:val="hybridMultilevel"/>
    <w:tmpl w:val="EAE85A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2"/>
  </w:num>
  <w:num w:numId="3">
    <w:abstractNumId w:val="0"/>
  </w:num>
  <w:num w:numId="4">
    <w:abstractNumId w:val="8"/>
  </w:num>
  <w:num w:numId="5">
    <w:abstractNumId w:val="1"/>
  </w:num>
  <w:num w:numId="6">
    <w:abstractNumId w:val="4"/>
  </w:num>
  <w:num w:numId="7">
    <w:abstractNumId w:val="5"/>
  </w:num>
  <w:num w:numId="8">
    <w:abstractNumId w:val="7"/>
  </w:num>
  <w:num w:numId="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CNO-1">
    <w15:presenceInfo w15:providerId="None" w15:userId="RCNO-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EOutsideDoc" w:val="True"/>
  </w:docVars>
  <w:rsids>
    <w:rsidRoot w:val="00FE5171"/>
    <w:rsid w:val="00005FDD"/>
    <w:rsid w:val="000103CD"/>
    <w:rsid w:val="00015114"/>
    <w:rsid w:val="00030702"/>
    <w:rsid w:val="000358F4"/>
    <w:rsid w:val="000373D5"/>
    <w:rsid w:val="000563CB"/>
    <w:rsid w:val="00057E0D"/>
    <w:rsid w:val="000712A4"/>
    <w:rsid w:val="00082A40"/>
    <w:rsid w:val="000875A2"/>
    <w:rsid w:val="00095E82"/>
    <w:rsid w:val="000B3AF2"/>
    <w:rsid w:val="000C7922"/>
    <w:rsid w:val="001074EA"/>
    <w:rsid w:val="00114E10"/>
    <w:rsid w:val="00120D49"/>
    <w:rsid w:val="00123998"/>
    <w:rsid w:val="00132388"/>
    <w:rsid w:val="00134405"/>
    <w:rsid w:val="001529F5"/>
    <w:rsid w:val="00154732"/>
    <w:rsid w:val="0016522C"/>
    <w:rsid w:val="00170BF0"/>
    <w:rsid w:val="001806D9"/>
    <w:rsid w:val="0018074C"/>
    <w:rsid w:val="00191EFF"/>
    <w:rsid w:val="001925B5"/>
    <w:rsid w:val="001A1011"/>
    <w:rsid w:val="001A46DC"/>
    <w:rsid w:val="001A52F8"/>
    <w:rsid w:val="001B2538"/>
    <w:rsid w:val="001B36DA"/>
    <w:rsid w:val="001C5AD2"/>
    <w:rsid w:val="001D142A"/>
    <w:rsid w:val="001D6044"/>
    <w:rsid w:val="001E1493"/>
    <w:rsid w:val="001E2B1A"/>
    <w:rsid w:val="001E367C"/>
    <w:rsid w:val="001E4469"/>
    <w:rsid w:val="0020042E"/>
    <w:rsid w:val="002038E7"/>
    <w:rsid w:val="00213DE8"/>
    <w:rsid w:val="002163B7"/>
    <w:rsid w:val="0021738B"/>
    <w:rsid w:val="00217518"/>
    <w:rsid w:val="00237489"/>
    <w:rsid w:val="00251F98"/>
    <w:rsid w:val="0025631B"/>
    <w:rsid w:val="00277E4B"/>
    <w:rsid w:val="00281C97"/>
    <w:rsid w:val="002B270F"/>
    <w:rsid w:val="002B45A6"/>
    <w:rsid w:val="002C3D56"/>
    <w:rsid w:val="002C3DC1"/>
    <w:rsid w:val="002C4015"/>
    <w:rsid w:val="002C52B4"/>
    <w:rsid w:val="002C61B3"/>
    <w:rsid w:val="002E07C8"/>
    <w:rsid w:val="002E257B"/>
    <w:rsid w:val="002F5953"/>
    <w:rsid w:val="002F6270"/>
    <w:rsid w:val="003146AA"/>
    <w:rsid w:val="00322E57"/>
    <w:rsid w:val="00324A50"/>
    <w:rsid w:val="0032682C"/>
    <w:rsid w:val="00332AAB"/>
    <w:rsid w:val="0034353E"/>
    <w:rsid w:val="003444F9"/>
    <w:rsid w:val="0035492A"/>
    <w:rsid w:val="0035753F"/>
    <w:rsid w:val="003703FF"/>
    <w:rsid w:val="00372314"/>
    <w:rsid w:val="003A7AA2"/>
    <w:rsid w:val="003B1513"/>
    <w:rsid w:val="003B1BC0"/>
    <w:rsid w:val="003B515D"/>
    <w:rsid w:val="003C432E"/>
    <w:rsid w:val="004025AC"/>
    <w:rsid w:val="0041218E"/>
    <w:rsid w:val="00413BF0"/>
    <w:rsid w:val="00415064"/>
    <w:rsid w:val="00415CFB"/>
    <w:rsid w:val="00423E41"/>
    <w:rsid w:val="00435ACD"/>
    <w:rsid w:val="00451770"/>
    <w:rsid w:val="00457D61"/>
    <w:rsid w:val="004623F0"/>
    <w:rsid w:val="004730FD"/>
    <w:rsid w:val="00494744"/>
    <w:rsid w:val="004A7F02"/>
    <w:rsid w:val="004B2588"/>
    <w:rsid w:val="004B6CB1"/>
    <w:rsid w:val="004D1E1C"/>
    <w:rsid w:val="004D328C"/>
    <w:rsid w:val="004D6354"/>
    <w:rsid w:val="004E44E6"/>
    <w:rsid w:val="004F3213"/>
    <w:rsid w:val="0050613A"/>
    <w:rsid w:val="005120FB"/>
    <w:rsid w:val="00521FE3"/>
    <w:rsid w:val="00522458"/>
    <w:rsid w:val="005467D9"/>
    <w:rsid w:val="005524F4"/>
    <w:rsid w:val="00563C09"/>
    <w:rsid w:val="00582E98"/>
    <w:rsid w:val="0058384F"/>
    <w:rsid w:val="005877AD"/>
    <w:rsid w:val="005928D5"/>
    <w:rsid w:val="0059779C"/>
    <w:rsid w:val="005A1C8D"/>
    <w:rsid w:val="005A46DE"/>
    <w:rsid w:val="005A6944"/>
    <w:rsid w:val="005A712F"/>
    <w:rsid w:val="005C2424"/>
    <w:rsid w:val="005C5904"/>
    <w:rsid w:val="005D29B4"/>
    <w:rsid w:val="005D399E"/>
    <w:rsid w:val="005F0DB9"/>
    <w:rsid w:val="006034C9"/>
    <w:rsid w:val="006226B1"/>
    <w:rsid w:val="00633A61"/>
    <w:rsid w:val="00651FE8"/>
    <w:rsid w:val="00656811"/>
    <w:rsid w:val="0066345A"/>
    <w:rsid w:val="00663AF9"/>
    <w:rsid w:val="00664975"/>
    <w:rsid w:val="006768F7"/>
    <w:rsid w:val="00686214"/>
    <w:rsid w:val="00692439"/>
    <w:rsid w:val="0069477F"/>
    <w:rsid w:val="006A23B5"/>
    <w:rsid w:val="006A65C0"/>
    <w:rsid w:val="006A75BD"/>
    <w:rsid w:val="006B0876"/>
    <w:rsid w:val="006B30CE"/>
    <w:rsid w:val="006D4DA5"/>
    <w:rsid w:val="006D6B7B"/>
    <w:rsid w:val="006F0F7E"/>
    <w:rsid w:val="006F2523"/>
    <w:rsid w:val="00711925"/>
    <w:rsid w:val="00712D13"/>
    <w:rsid w:val="00726FDD"/>
    <w:rsid w:val="00740C11"/>
    <w:rsid w:val="00752E8B"/>
    <w:rsid w:val="00756D5B"/>
    <w:rsid w:val="00761699"/>
    <w:rsid w:val="007729C5"/>
    <w:rsid w:val="007944C4"/>
    <w:rsid w:val="00796A02"/>
    <w:rsid w:val="00797E75"/>
    <w:rsid w:val="007A02BE"/>
    <w:rsid w:val="007A14ED"/>
    <w:rsid w:val="007A1EBF"/>
    <w:rsid w:val="007B4BA4"/>
    <w:rsid w:val="007F2F48"/>
    <w:rsid w:val="008000FC"/>
    <w:rsid w:val="0080136D"/>
    <w:rsid w:val="00803100"/>
    <w:rsid w:val="008229EE"/>
    <w:rsid w:val="00822E59"/>
    <w:rsid w:val="008246F1"/>
    <w:rsid w:val="00836B47"/>
    <w:rsid w:val="00844EC2"/>
    <w:rsid w:val="00864F2D"/>
    <w:rsid w:val="00870FF2"/>
    <w:rsid w:val="00897B6A"/>
    <w:rsid w:val="008A2766"/>
    <w:rsid w:val="008A278F"/>
    <w:rsid w:val="008A2FC3"/>
    <w:rsid w:val="008B00A7"/>
    <w:rsid w:val="008B22E5"/>
    <w:rsid w:val="008D6B25"/>
    <w:rsid w:val="008D7E14"/>
    <w:rsid w:val="008E1372"/>
    <w:rsid w:val="008E3C89"/>
    <w:rsid w:val="008F3421"/>
    <w:rsid w:val="008F3B65"/>
    <w:rsid w:val="008F7BEE"/>
    <w:rsid w:val="00914869"/>
    <w:rsid w:val="009259AB"/>
    <w:rsid w:val="009427A8"/>
    <w:rsid w:val="009463FE"/>
    <w:rsid w:val="00950E45"/>
    <w:rsid w:val="0097391D"/>
    <w:rsid w:val="00982AE1"/>
    <w:rsid w:val="009A06C3"/>
    <w:rsid w:val="009B0186"/>
    <w:rsid w:val="009B3BEA"/>
    <w:rsid w:val="009D0D01"/>
    <w:rsid w:val="009D60D5"/>
    <w:rsid w:val="009E0C37"/>
    <w:rsid w:val="009E1170"/>
    <w:rsid w:val="009E5D45"/>
    <w:rsid w:val="00A13D41"/>
    <w:rsid w:val="00A15325"/>
    <w:rsid w:val="00A179E1"/>
    <w:rsid w:val="00A26CE4"/>
    <w:rsid w:val="00A413C2"/>
    <w:rsid w:val="00A472C2"/>
    <w:rsid w:val="00A6721B"/>
    <w:rsid w:val="00A75ABC"/>
    <w:rsid w:val="00A77FB8"/>
    <w:rsid w:val="00A8408B"/>
    <w:rsid w:val="00A86769"/>
    <w:rsid w:val="00A86F46"/>
    <w:rsid w:val="00AD01BD"/>
    <w:rsid w:val="00AD678E"/>
    <w:rsid w:val="00AD7663"/>
    <w:rsid w:val="00AE31BD"/>
    <w:rsid w:val="00AE662A"/>
    <w:rsid w:val="00AF352C"/>
    <w:rsid w:val="00B01107"/>
    <w:rsid w:val="00B02777"/>
    <w:rsid w:val="00B0390E"/>
    <w:rsid w:val="00B0783F"/>
    <w:rsid w:val="00B12BD7"/>
    <w:rsid w:val="00B14AFF"/>
    <w:rsid w:val="00B36FC9"/>
    <w:rsid w:val="00B639EA"/>
    <w:rsid w:val="00B724E1"/>
    <w:rsid w:val="00B72DB6"/>
    <w:rsid w:val="00B81408"/>
    <w:rsid w:val="00B9171F"/>
    <w:rsid w:val="00B92A22"/>
    <w:rsid w:val="00B941C8"/>
    <w:rsid w:val="00BA2E4F"/>
    <w:rsid w:val="00BA5F5E"/>
    <w:rsid w:val="00BB3F5E"/>
    <w:rsid w:val="00BC7E18"/>
    <w:rsid w:val="00BD0606"/>
    <w:rsid w:val="00BE54AF"/>
    <w:rsid w:val="00BF5B88"/>
    <w:rsid w:val="00C104CB"/>
    <w:rsid w:val="00C11D8E"/>
    <w:rsid w:val="00C254BB"/>
    <w:rsid w:val="00C40F27"/>
    <w:rsid w:val="00C61EE8"/>
    <w:rsid w:val="00C662CC"/>
    <w:rsid w:val="00C7489F"/>
    <w:rsid w:val="00C84A64"/>
    <w:rsid w:val="00C91E8C"/>
    <w:rsid w:val="00C92843"/>
    <w:rsid w:val="00C94BE0"/>
    <w:rsid w:val="00CB1599"/>
    <w:rsid w:val="00CB47FD"/>
    <w:rsid w:val="00CB4D69"/>
    <w:rsid w:val="00CF31E8"/>
    <w:rsid w:val="00D04186"/>
    <w:rsid w:val="00D17DEB"/>
    <w:rsid w:val="00D21719"/>
    <w:rsid w:val="00D25140"/>
    <w:rsid w:val="00D40DAA"/>
    <w:rsid w:val="00D444F6"/>
    <w:rsid w:val="00D47D3F"/>
    <w:rsid w:val="00D60210"/>
    <w:rsid w:val="00D631B2"/>
    <w:rsid w:val="00D717CB"/>
    <w:rsid w:val="00D76131"/>
    <w:rsid w:val="00D82884"/>
    <w:rsid w:val="00DA76A7"/>
    <w:rsid w:val="00DB0F49"/>
    <w:rsid w:val="00DC0AE7"/>
    <w:rsid w:val="00DD1F49"/>
    <w:rsid w:val="00DD2472"/>
    <w:rsid w:val="00DE11F4"/>
    <w:rsid w:val="00DE6201"/>
    <w:rsid w:val="00DE73BB"/>
    <w:rsid w:val="00E1508B"/>
    <w:rsid w:val="00E25014"/>
    <w:rsid w:val="00E412D8"/>
    <w:rsid w:val="00E425F5"/>
    <w:rsid w:val="00E43158"/>
    <w:rsid w:val="00E43AB3"/>
    <w:rsid w:val="00E94C6E"/>
    <w:rsid w:val="00EC2695"/>
    <w:rsid w:val="00EC3CEA"/>
    <w:rsid w:val="00ED5624"/>
    <w:rsid w:val="00ED6E15"/>
    <w:rsid w:val="00EE1CB2"/>
    <w:rsid w:val="00EE741B"/>
    <w:rsid w:val="00EF6CD4"/>
    <w:rsid w:val="00F0350F"/>
    <w:rsid w:val="00F05CE5"/>
    <w:rsid w:val="00F17894"/>
    <w:rsid w:val="00F34105"/>
    <w:rsid w:val="00F44A41"/>
    <w:rsid w:val="00F56E48"/>
    <w:rsid w:val="00F666FC"/>
    <w:rsid w:val="00F7752F"/>
    <w:rsid w:val="00F8016C"/>
    <w:rsid w:val="00F81DFA"/>
    <w:rsid w:val="00F9641F"/>
    <w:rsid w:val="00FB0755"/>
    <w:rsid w:val="00FB4899"/>
    <w:rsid w:val="00FB63B7"/>
    <w:rsid w:val="00FD4DB0"/>
    <w:rsid w:val="00FE382E"/>
    <w:rsid w:val="00FE5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30F5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9"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4F32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Body ss Char"/>
    <w:basedOn w:val="DefaultParagraphFont"/>
    <w:link w:val="BodyText"/>
    <w:uiPriority w:val="9"/>
    <w:locked/>
    <w:rPr>
      <w:rFonts w:ascii="Times New Roman" w:eastAsiaTheme="minorHAnsi" w:hAnsi="Times New Roman" w:cs="Times New Roman" w:hint="default"/>
    </w:rPr>
  </w:style>
  <w:style w:type="paragraph" w:styleId="BodyText">
    <w:name w:val="Body Text"/>
    <w:aliases w:val="Body ss"/>
    <w:basedOn w:val="Normal"/>
    <w:link w:val="BodyTextChar"/>
    <w:uiPriority w:val="9"/>
    <w:unhideWhenUsed/>
    <w:qFormat/>
    <w:pPr>
      <w:spacing w:after="240"/>
    </w:pPr>
    <w:rPr>
      <w:rFonts w:ascii="Times New Roman" w:eastAsiaTheme="minorHAnsi" w:hAnsi="Times New Roman" w:cs="Times New Roman"/>
    </w:rPr>
  </w:style>
  <w:style w:type="character" w:customStyle="1" w:styleId="BodyTextChar1">
    <w:name w:val="Body Text Char1"/>
    <w:aliases w:val="Body ss Char1"/>
    <w:basedOn w:val="DefaultParagraphFont"/>
    <w:uiPriority w:val="9"/>
    <w:semiHidden/>
    <w:rPr>
      <w:sz w:val="24"/>
      <w:szCs w:val="24"/>
    </w:rPr>
  </w:style>
  <w:style w:type="paragraph" w:styleId="FootnoteText">
    <w:name w:val="footnote text"/>
    <w:basedOn w:val="Normal"/>
    <w:link w:val="FootnoteTextChar"/>
    <w:uiPriority w:val="99"/>
    <w:rsid w:val="001E1493"/>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rsid w:val="001E1493"/>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rsid w:val="001E1493"/>
    <w:rPr>
      <w:rFonts w:cs="Times New Roman"/>
      <w:vertAlign w:val="superscript"/>
    </w:rPr>
  </w:style>
  <w:style w:type="character" w:customStyle="1" w:styleId="apple-converted-space">
    <w:name w:val="apple-converted-space"/>
    <w:basedOn w:val="DefaultParagraphFont"/>
    <w:rsid w:val="00281C97"/>
  </w:style>
  <w:style w:type="character" w:customStyle="1" w:styleId="ptext-">
    <w:name w:val="ptext-"/>
    <w:basedOn w:val="DefaultParagraphFont"/>
    <w:rsid w:val="00281C97"/>
  </w:style>
  <w:style w:type="character" w:styleId="CommentReference">
    <w:name w:val="annotation reference"/>
    <w:basedOn w:val="DefaultParagraphFont"/>
    <w:semiHidden/>
    <w:unhideWhenUsed/>
    <w:rsid w:val="008A2766"/>
    <w:rPr>
      <w:sz w:val="18"/>
      <w:szCs w:val="18"/>
    </w:rPr>
  </w:style>
  <w:style w:type="paragraph" w:styleId="CommentText">
    <w:name w:val="annotation text"/>
    <w:basedOn w:val="Normal"/>
    <w:link w:val="CommentTextChar"/>
    <w:semiHidden/>
    <w:unhideWhenUsed/>
    <w:rsid w:val="008A2766"/>
  </w:style>
  <w:style w:type="character" w:customStyle="1" w:styleId="CommentTextChar">
    <w:name w:val="Comment Text Char"/>
    <w:basedOn w:val="DefaultParagraphFont"/>
    <w:link w:val="CommentText"/>
    <w:semiHidden/>
    <w:rsid w:val="008A2766"/>
    <w:rPr>
      <w:sz w:val="24"/>
      <w:szCs w:val="24"/>
    </w:rPr>
  </w:style>
  <w:style w:type="paragraph" w:styleId="CommentSubject">
    <w:name w:val="annotation subject"/>
    <w:basedOn w:val="CommentText"/>
    <w:next w:val="CommentText"/>
    <w:link w:val="CommentSubjectChar"/>
    <w:uiPriority w:val="99"/>
    <w:semiHidden/>
    <w:unhideWhenUsed/>
    <w:rsid w:val="008A2766"/>
    <w:rPr>
      <w:b/>
      <w:bCs/>
      <w:sz w:val="20"/>
      <w:szCs w:val="20"/>
    </w:rPr>
  </w:style>
  <w:style w:type="character" w:customStyle="1" w:styleId="CommentSubjectChar">
    <w:name w:val="Comment Subject Char"/>
    <w:basedOn w:val="CommentTextChar"/>
    <w:link w:val="CommentSubject"/>
    <w:uiPriority w:val="99"/>
    <w:semiHidden/>
    <w:rsid w:val="008A2766"/>
    <w:rPr>
      <w:b/>
      <w:bCs/>
      <w:sz w:val="24"/>
      <w:szCs w:val="24"/>
    </w:rPr>
  </w:style>
  <w:style w:type="paragraph" w:styleId="BalloonText">
    <w:name w:val="Balloon Text"/>
    <w:basedOn w:val="Normal"/>
    <w:link w:val="BalloonTextChar"/>
    <w:uiPriority w:val="99"/>
    <w:semiHidden/>
    <w:unhideWhenUsed/>
    <w:rsid w:val="008A27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2766"/>
    <w:rPr>
      <w:rFonts w:ascii="Lucida Grande" w:hAnsi="Lucida Grande" w:cs="Lucida Grande"/>
      <w:sz w:val="18"/>
      <w:szCs w:val="18"/>
    </w:rPr>
  </w:style>
  <w:style w:type="paragraph" w:styleId="PlainText">
    <w:name w:val="Plain Text"/>
    <w:basedOn w:val="Normal"/>
    <w:link w:val="PlainTextChar"/>
    <w:uiPriority w:val="99"/>
    <w:unhideWhenUsed/>
    <w:rsid w:val="00132388"/>
    <w:rPr>
      <w:rFonts w:ascii="Calibri" w:eastAsiaTheme="minorHAnsi" w:hAnsi="Calibri"/>
      <w:sz w:val="22"/>
      <w:szCs w:val="21"/>
    </w:rPr>
  </w:style>
  <w:style w:type="character" w:customStyle="1" w:styleId="PlainTextChar">
    <w:name w:val="Plain Text Char"/>
    <w:basedOn w:val="DefaultParagraphFont"/>
    <w:link w:val="PlainText"/>
    <w:uiPriority w:val="99"/>
    <w:rsid w:val="00132388"/>
    <w:rPr>
      <w:rFonts w:ascii="Calibri" w:eastAsiaTheme="minorHAnsi" w:hAnsi="Calibri"/>
      <w:sz w:val="22"/>
      <w:szCs w:val="21"/>
    </w:rPr>
  </w:style>
  <w:style w:type="character" w:styleId="Hyperlink">
    <w:name w:val="Hyperlink"/>
    <w:basedOn w:val="DefaultParagraphFont"/>
    <w:uiPriority w:val="99"/>
    <w:unhideWhenUsed/>
    <w:rsid w:val="00132388"/>
    <w:rPr>
      <w:color w:val="0000FF" w:themeColor="hyperlink"/>
      <w:u w:val="single"/>
    </w:rPr>
  </w:style>
  <w:style w:type="paragraph" w:styleId="ListParagraph">
    <w:name w:val="List Paragraph"/>
    <w:basedOn w:val="Normal"/>
    <w:uiPriority w:val="34"/>
    <w:qFormat/>
    <w:rsid w:val="006D6B7B"/>
    <w:pPr>
      <w:ind w:left="720"/>
      <w:contextualSpacing/>
    </w:pPr>
  </w:style>
  <w:style w:type="character" w:styleId="FollowedHyperlink">
    <w:name w:val="FollowedHyperlink"/>
    <w:basedOn w:val="DefaultParagraphFont"/>
    <w:uiPriority w:val="99"/>
    <w:semiHidden/>
    <w:unhideWhenUsed/>
    <w:rsid w:val="006D6B7B"/>
    <w:rPr>
      <w:color w:val="800080" w:themeColor="followedHyperlink"/>
      <w:u w:val="single"/>
    </w:rPr>
  </w:style>
  <w:style w:type="paragraph" w:styleId="Footer">
    <w:name w:val="footer"/>
    <w:basedOn w:val="Normal"/>
    <w:link w:val="FooterChar"/>
    <w:uiPriority w:val="99"/>
    <w:unhideWhenUsed/>
    <w:rsid w:val="004025AC"/>
    <w:pPr>
      <w:tabs>
        <w:tab w:val="center" w:pos="4320"/>
        <w:tab w:val="right" w:pos="8640"/>
      </w:tabs>
    </w:pPr>
  </w:style>
  <w:style w:type="character" w:customStyle="1" w:styleId="FooterChar">
    <w:name w:val="Footer Char"/>
    <w:basedOn w:val="DefaultParagraphFont"/>
    <w:link w:val="Footer"/>
    <w:uiPriority w:val="99"/>
    <w:rsid w:val="004025AC"/>
    <w:rPr>
      <w:sz w:val="24"/>
      <w:szCs w:val="24"/>
    </w:rPr>
  </w:style>
  <w:style w:type="character" w:styleId="PageNumber">
    <w:name w:val="page number"/>
    <w:basedOn w:val="DefaultParagraphFont"/>
    <w:uiPriority w:val="99"/>
    <w:semiHidden/>
    <w:unhideWhenUsed/>
    <w:rsid w:val="004025AC"/>
  </w:style>
  <w:style w:type="paragraph" w:styleId="NormalWeb">
    <w:name w:val="Normal (Web)"/>
    <w:basedOn w:val="Normal"/>
    <w:uiPriority w:val="99"/>
    <w:unhideWhenUsed/>
    <w:rsid w:val="009D60D5"/>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1074EA"/>
    <w:rPr>
      <w:i/>
      <w:iCs/>
    </w:rPr>
  </w:style>
  <w:style w:type="character" w:styleId="LineNumber">
    <w:name w:val="line number"/>
    <w:basedOn w:val="DefaultParagraphFont"/>
    <w:uiPriority w:val="99"/>
    <w:semiHidden/>
    <w:unhideWhenUsed/>
    <w:rsid w:val="001074EA"/>
  </w:style>
  <w:style w:type="paragraph" w:styleId="Header">
    <w:name w:val="header"/>
    <w:basedOn w:val="Normal"/>
    <w:link w:val="HeaderChar"/>
    <w:uiPriority w:val="99"/>
    <w:unhideWhenUsed/>
    <w:rsid w:val="001074EA"/>
    <w:pPr>
      <w:tabs>
        <w:tab w:val="center" w:pos="4680"/>
        <w:tab w:val="right" w:pos="9360"/>
      </w:tabs>
    </w:pPr>
    <w:rPr>
      <w:rFonts w:ascii="Calibri" w:eastAsia="Calibri" w:hAnsi="Calibri" w:cs="Times New Roman"/>
      <w:sz w:val="22"/>
      <w:szCs w:val="22"/>
    </w:rPr>
  </w:style>
  <w:style w:type="character" w:customStyle="1" w:styleId="HeaderChar">
    <w:name w:val="Header Char"/>
    <w:basedOn w:val="DefaultParagraphFont"/>
    <w:link w:val="Header"/>
    <w:uiPriority w:val="99"/>
    <w:rsid w:val="001074EA"/>
    <w:rPr>
      <w:rFonts w:ascii="Calibri" w:eastAsia="Calibri" w:hAnsi="Calibri" w:cs="Times New Roman"/>
      <w:sz w:val="22"/>
      <w:szCs w:val="22"/>
    </w:rPr>
  </w:style>
  <w:style w:type="character" w:customStyle="1" w:styleId="chapeau">
    <w:name w:val="chapeau"/>
    <w:basedOn w:val="DefaultParagraphFont"/>
    <w:rsid w:val="00A77FB8"/>
  </w:style>
  <w:style w:type="character" w:customStyle="1" w:styleId="num">
    <w:name w:val="num"/>
    <w:basedOn w:val="DefaultParagraphFont"/>
    <w:rsid w:val="00A77FB8"/>
  </w:style>
  <w:style w:type="character" w:customStyle="1" w:styleId="Heading1Char">
    <w:name w:val="Heading 1 Char"/>
    <w:basedOn w:val="DefaultParagraphFont"/>
    <w:link w:val="Heading1"/>
    <w:uiPriority w:val="9"/>
    <w:rsid w:val="004F321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9"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4F32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Body ss Char"/>
    <w:basedOn w:val="DefaultParagraphFont"/>
    <w:link w:val="BodyText"/>
    <w:uiPriority w:val="9"/>
    <w:locked/>
    <w:rPr>
      <w:rFonts w:ascii="Times New Roman" w:eastAsiaTheme="minorHAnsi" w:hAnsi="Times New Roman" w:cs="Times New Roman" w:hint="default"/>
    </w:rPr>
  </w:style>
  <w:style w:type="paragraph" w:styleId="BodyText">
    <w:name w:val="Body Text"/>
    <w:aliases w:val="Body ss"/>
    <w:basedOn w:val="Normal"/>
    <w:link w:val="BodyTextChar"/>
    <w:uiPriority w:val="9"/>
    <w:unhideWhenUsed/>
    <w:qFormat/>
    <w:pPr>
      <w:spacing w:after="240"/>
    </w:pPr>
    <w:rPr>
      <w:rFonts w:ascii="Times New Roman" w:eastAsiaTheme="minorHAnsi" w:hAnsi="Times New Roman" w:cs="Times New Roman"/>
    </w:rPr>
  </w:style>
  <w:style w:type="character" w:customStyle="1" w:styleId="BodyTextChar1">
    <w:name w:val="Body Text Char1"/>
    <w:aliases w:val="Body ss Char1"/>
    <w:basedOn w:val="DefaultParagraphFont"/>
    <w:uiPriority w:val="9"/>
    <w:semiHidden/>
    <w:rPr>
      <w:sz w:val="24"/>
      <w:szCs w:val="24"/>
    </w:rPr>
  </w:style>
  <w:style w:type="paragraph" w:styleId="FootnoteText">
    <w:name w:val="footnote text"/>
    <w:basedOn w:val="Normal"/>
    <w:link w:val="FootnoteTextChar"/>
    <w:uiPriority w:val="99"/>
    <w:rsid w:val="001E1493"/>
    <w:rPr>
      <w:rFonts w:ascii="Times New Roman" w:eastAsia="Times New Roman" w:hAnsi="Times New Roman" w:cs="Times New Roman"/>
    </w:rPr>
  </w:style>
  <w:style w:type="character" w:customStyle="1" w:styleId="FootnoteTextChar">
    <w:name w:val="Footnote Text Char"/>
    <w:basedOn w:val="DefaultParagraphFont"/>
    <w:link w:val="FootnoteText"/>
    <w:uiPriority w:val="99"/>
    <w:rsid w:val="001E1493"/>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rsid w:val="001E1493"/>
    <w:rPr>
      <w:rFonts w:cs="Times New Roman"/>
      <w:vertAlign w:val="superscript"/>
    </w:rPr>
  </w:style>
  <w:style w:type="character" w:customStyle="1" w:styleId="apple-converted-space">
    <w:name w:val="apple-converted-space"/>
    <w:basedOn w:val="DefaultParagraphFont"/>
    <w:rsid w:val="00281C97"/>
  </w:style>
  <w:style w:type="character" w:customStyle="1" w:styleId="ptext-">
    <w:name w:val="ptext-"/>
    <w:basedOn w:val="DefaultParagraphFont"/>
    <w:rsid w:val="00281C97"/>
  </w:style>
  <w:style w:type="character" w:styleId="CommentReference">
    <w:name w:val="annotation reference"/>
    <w:basedOn w:val="DefaultParagraphFont"/>
    <w:semiHidden/>
    <w:unhideWhenUsed/>
    <w:rsid w:val="008A2766"/>
    <w:rPr>
      <w:sz w:val="18"/>
      <w:szCs w:val="18"/>
    </w:rPr>
  </w:style>
  <w:style w:type="paragraph" w:styleId="CommentText">
    <w:name w:val="annotation text"/>
    <w:basedOn w:val="Normal"/>
    <w:link w:val="CommentTextChar"/>
    <w:semiHidden/>
    <w:unhideWhenUsed/>
    <w:rsid w:val="008A2766"/>
  </w:style>
  <w:style w:type="character" w:customStyle="1" w:styleId="CommentTextChar">
    <w:name w:val="Comment Text Char"/>
    <w:basedOn w:val="DefaultParagraphFont"/>
    <w:link w:val="CommentText"/>
    <w:semiHidden/>
    <w:rsid w:val="008A2766"/>
    <w:rPr>
      <w:sz w:val="24"/>
      <w:szCs w:val="24"/>
    </w:rPr>
  </w:style>
  <w:style w:type="paragraph" w:styleId="CommentSubject">
    <w:name w:val="annotation subject"/>
    <w:basedOn w:val="CommentText"/>
    <w:next w:val="CommentText"/>
    <w:link w:val="CommentSubjectChar"/>
    <w:uiPriority w:val="99"/>
    <w:semiHidden/>
    <w:unhideWhenUsed/>
    <w:rsid w:val="008A2766"/>
    <w:rPr>
      <w:b/>
      <w:bCs/>
      <w:sz w:val="20"/>
      <w:szCs w:val="20"/>
    </w:rPr>
  </w:style>
  <w:style w:type="character" w:customStyle="1" w:styleId="CommentSubjectChar">
    <w:name w:val="Comment Subject Char"/>
    <w:basedOn w:val="CommentTextChar"/>
    <w:link w:val="CommentSubject"/>
    <w:uiPriority w:val="99"/>
    <w:semiHidden/>
    <w:rsid w:val="008A2766"/>
    <w:rPr>
      <w:b/>
      <w:bCs/>
      <w:sz w:val="24"/>
      <w:szCs w:val="24"/>
    </w:rPr>
  </w:style>
  <w:style w:type="paragraph" w:styleId="BalloonText">
    <w:name w:val="Balloon Text"/>
    <w:basedOn w:val="Normal"/>
    <w:link w:val="BalloonTextChar"/>
    <w:uiPriority w:val="99"/>
    <w:semiHidden/>
    <w:unhideWhenUsed/>
    <w:rsid w:val="008A27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2766"/>
    <w:rPr>
      <w:rFonts w:ascii="Lucida Grande" w:hAnsi="Lucida Grande" w:cs="Lucida Grande"/>
      <w:sz w:val="18"/>
      <w:szCs w:val="18"/>
    </w:rPr>
  </w:style>
  <w:style w:type="paragraph" w:styleId="PlainText">
    <w:name w:val="Plain Text"/>
    <w:basedOn w:val="Normal"/>
    <w:link w:val="PlainTextChar"/>
    <w:uiPriority w:val="99"/>
    <w:unhideWhenUsed/>
    <w:rsid w:val="00132388"/>
    <w:rPr>
      <w:rFonts w:ascii="Calibri" w:eastAsiaTheme="minorHAnsi" w:hAnsi="Calibri"/>
      <w:sz w:val="22"/>
      <w:szCs w:val="21"/>
    </w:rPr>
  </w:style>
  <w:style w:type="character" w:customStyle="1" w:styleId="PlainTextChar">
    <w:name w:val="Plain Text Char"/>
    <w:basedOn w:val="DefaultParagraphFont"/>
    <w:link w:val="PlainText"/>
    <w:uiPriority w:val="99"/>
    <w:rsid w:val="00132388"/>
    <w:rPr>
      <w:rFonts w:ascii="Calibri" w:eastAsiaTheme="minorHAnsi" w:hAnsi="Calibri"/>
      <w:sz w:val="22"/>
      <w:szCs w:val="21"/>
    </w:rPr>
  </w:style>
  <w:style w:type="character" w:styleId="Hyperlink">
    <w:name w:val="Hyperlink"/>
    <w:basedOn w:val="DefaultParagraphFont"/>
    <w:uiPriority w:val="99"/>
    <w:unhideWhenUsed/>
    <w:rsid w:val="00132388"/>
    <w:rPr>
      <w:color w:val="0000FF" w:themeColor="hyperlink"/>
      <w:u w:val="single"/>
    </w:rPr>
  </w:style>
  <w:style w:type="paragraph" w:styleId="ListParagraph">
    <w:name w:val="List Paragraph"/>
    <w:basedOn w:val="Normal"/>
    <w:uiPriority w:val="34"/>
    <w:qFormat/>
    <w:rsid w:val="006D6B7B"/>
    <w:pPr>
      <w:ind w:left="720"/>
      <w:contextualSpacing/>
    </w:pPr>
  </w:style>
  <w:style w:type="character" w:styleId="FollowedHyperlink">
    <w:name w:val="FollowedHyperlink"/>
    <w:basedOn w:val="DefaultParagraphFont"/>
    <w:uiPriority w:val="99"/>
    <w:semiHidden/>
    <w:unhideWhenUsed/>
    <w:rsid w:val="006D6B7B"/>
    <w:rPr>
      <w:color w:val="800080" w:themeColor="followedHyperlink"/>
      <w:u w:val="single"/>
    </w:rPr>
  </w:style>
  <w:style w:type="paragraph" w:styleId="Footer">
    <w:name w:val="footer"/>
    <w:basedOn w:val="Normal"/>
    <w:link w:val="FooterChar"/>
    <w:uiPriority w:val="99"/>
    <w:unhideWhenUsed/>
    <w:rsid w:val="004025AC"/>
    <w:pPr>
      <w:tabs>
        <w:tab w:val="center" w:pos="4320"/>
        <w:tab w:val="right" w:pos="8640"/>
      </w:tabs>
    </w:pPr>
  </w:style>
  <w:style w:type="character" w:customStyle="1" w:styleId="FooterChar">
    <w:name w:val="Footer Char"/>
    <w:basedOn w:val="DefaultParagraphFont"/>
    <w:link w:val="Footer"/>
    <w:uiPriority w:val="99"/>
    <w:rsid w:val="004025AC"/>
    <w:rPr>
      <w:sz w:val="24"/>
      <w:szCs w:val="24"/>
    </w:rPr>
  </w:style>
  <w:style w:type="character" w:styleId="PageNumber">
    <w:name w:val="page number"/>
    <w:basedOn w:val="DefaultParagraphFont"/>
    <w:uiPriority w:val="99"/>
    <w:semiHidden/>
    <w:unhideWhenUsed/>
    <w:rsid w:val="004025AC"/>
  </w:style>
  <w:style w:type="paragraph" w:styleId="NormalWeb">
    <w:name w:val="Normal (Web)"/>
    <w:basedOn w:val="Normal"/>
    <w:uiPriority w:val="99"/>
    <w:unhideWhenUsed/>
    <w:rsid w:val="009D60D5"/>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1074EA"/>
    <w:rPr>
      <w:i/>
      <w:iCs/>
    </w:rPr>
  </w:style>
  <w:style w:type="character" w:styleId="LineNumber">
    <w:name w:val="line number"/>
    <w:basedOn w:val="DefaultParagraphFont"/>
    <w:uiPriority w:val="99"/>
    <w:semiHidden/>
    <w:unhideWhenUsed/>
    <w:rsid w:val="001074EA"/>
  </w:style>
  <w:style w:type="paragraph" w:styleId="Header">
    <w:name w:val="header"/>
    <w:basedOn w:val="Normal"/>
    <w:link w:val="HeaderChar"/>
    <w:uiPriority w:val="99"/>
    <w:unhideWhenUsed/>
    <w:rsid w:val="001074EA"/>
    <w:pPr>
      <w:tabs>
        <w:tab w:val="center" w:pos="4680"/>
        <w:tab w:val="right" w:pos="9360"/>
      </w:tabs>
    </w:pPr>
    <w:rPr>
      <w:rFonts w:ascii="Calibri" w:eastAsia="Calibri" w:hAnsi="Calibri" w:cs="Times New Roman"/>
      <w:sz w:val="22"/>
      <w:szCs w:val="22"/>
    </w:rPr>
  </w:style>
  <w:style w:type="character" w:customStyle="1" w:styleId="HeaderChar">
    <w:name w:val="Header Char"/>
    <w:basedOn w:val="DefaultParagraphFont"/>
    <w:link w:val="Header"/>
    <w:uiPriority w:val="99"/>
    <w:rsid w:val="001074EA"/>
    <w:rPr>
      <w:rFonts w:ascii="Calibri" w:eastAsia="Calibri" w:hAnsi="Calibri" w:cs="Times New Roman"/>
      <w:sz w:val="22"/>
      <w:szCs w:val="22"/>
    </w:rPr>
  </w:style>
  <w:style w:type="character" w:customStyle="1" w:styleId="chapeau">
    <w:name w:val="chapeau"/>
    <w:basedOn w:val="DefaultParagraphFont"/>
    <w:rsid w:val="00A77FB8"/>
  </w:style>
  <w:style w:type="character" w:customStyle="1" w:styleId="num">
    <w:name w:val="num"/>
    <w:basedOn w:val="DefaultParagraphFont"/>
    <w:rsid w:val="00A77FB8"/>
  </w:style>
  <w:style w:type="character" w:customStyle="1" w:styleId="Heading1Char">
    <w:name w:val="Heading 1 Char"/>
    <w:basedOn w:val="DefaultParagraphFont"/>
    <w:link w:val="Heading1"/>
    <w:uiPriority w:val="9"/>
    <w:rsid w:val="004F321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92068">
      <w:bodyDiv w:val="1"/>
      <w:marLeft w:val="0"/>
      <w:marRight w:val="0"/>
      <w:marTop w:val="0"/>
      <w:marBottom w:val="0"/>
      <w:divBdr>
        <w:top w:val="none" w:sz="0" w:space="0" w:color="auto"/>
        <w:left w:val="none" w:sz="0" w:space="0" w:color="auto"/>
        <w:bottom w:val="none" w:sz="0" w:space="0" w:color="auto"/>
        <w:right w:val="none" w:sz="0" w:space="0" w:color="auto"/>
      </w:divBdr>
      <w:divsChild>
        <w:div w:id="2084066657">
          <w:marLeft w:val="0"/>
          <w:marRight w:val="0"/>
          <w:marTop w:val="0"/>
          <w:marBottom w:val="0"/>
          <w:divBdr>
            <w:top w:val="none" w:sz="0" w:space="0" w:color="auto"/>
            <w:left w:val="none" w:sz="0" w:space="0" w:color="auto"/>
            <w:bottom w:val="none" w:sz="0" w:space="0" w:color="auto"/>
            <w:right w:val="none" w:sz="0" w:space="0" w:color="auto"/>
          </w:divBdr>
          <w:divsChild>
            <w:div w:id="1878814701">
              <w:marLeft w:val="0"/>
              <w:marRight w:val="0"/>
              <w:marTop w:val="0"/>
              <w:marBottom w:val="0"/>
              <w:divBdr>
                <w:top w:val="none" w:sz="0" w:space="0" w:color="auto"/>
                <w:left w:val="none" w:sz="0" w:space="0" w:color="auto"/>
                <w:bottom w:val="none" w:sz="0" w:space="0" w:color="auto"/>
                <w:right w:val="none" w:sz="0" w:space="0" w:color="auto"/>
              </w:divBdr>
              <w:divsChild>
                <w:div w:id="73277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33446">
      <w:bodyDiv w:val="1"/>
      <w:marLeft w:val="0"/>
      <w:marRight w:val="0"/>
      <w:marTop w:val="0"/>
      <w:marBottom w:val="0"/>
      <w:divBdr>
        <w:top w:val="none" w:sz="0" w:space="0" w:color="auto"/>
        <w:left w:val="none" w:sz="0" w:space="0" w:color="auto"/>
        <w:bottom w:val="none" w:sz="0" w:space="0" w:color="auto"/>
        <w:right w:val="none" w:sz="0" w:space="0" w:color="auto"/>
      </w:divBdr>
    </w:div>
    <w:div w:id="59600975">
      <w:bodyDiv w:val="1"/>
      <w:marLeft w:val="0"/>
      <w:marRight w:val="0"/>
      <w:marTop w:val="0"/>
      <w:marBottom w:val="0"/>
      <w:divBdr>
        <w:top w:val="none" w:sz="0" w:space="0" w:color="auto"/>
        <w:left w:val="none" w:sz="0" w:space="0" w:color="auto"/>
        <w:bottom w:val="none" w:sz="0" w:space="0" w:color="auto"/>
        <w:right w:val="none" w:sz="0" w:space="0" w:color="auto"/>
      </w:divBdr>
      <w:divsChild>
        <w:div w:id="14216790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190157">
      <w:bodyDiv w:val="1"/>
      <w:marLeft w:val="0"/>
      <w:marRight w:val="0"/>
      <w:marTop w:val="0"/>
      <w:marBottom w:val="0"/>
      <w:divBdr>
        <w:top w:val="none" w:sz="0" w:space="0" w:color="auto"/>
        <w:left w:val="none" w:sz="0" w:space="0" w:color="auto"/>
        <w:bottom w:val="none" w:sz="0" w:space="0" w:color="auto"/>
        <w:right w:val="none" w:sz="0" w:space="0" w:color="auto"/>
      </w:divBdr>
      <w:divsChild>
        <w:div w:id="179206530">
          <w:marLeft w:val="0"/>
          <w:marRight w:val="0"/>
          <w:marTop w:val="0"/>
          <w:marBottom w:val="0"/>
          <w:divBdr>
            <w:top w:val="none" w:sz="0" w:space="0" w:color="auto"/>
            <w:left w:val="none" w:sz="0" w:space="0" w:color="auto"/>
            <w:bottom w:val="none" w:sz="0" w:space="0" w:color="auto"/>
            <w:right w:val="none" w:sz="0" w:space="0" w:color="auto"/>
          </w:divBdr>
          <w:divsChild>
            <w:div w:id="1662461995">
              <w:marLeft w:val="0"/>
              <w:marRight w:val="0"/>
              <w:marTop w:val="0"/>
              <w:marBottom w:val="0"/>
              <w:divBdr>
                <w:top w:val="none" w:sz="0" w:space="0" w:color="auto"/>
                <w:left w:val="none" w:sz="0" w:space="0" w:color="auto"/>
                <w:bottom w:val="none" w:sz="0" w:space="0" w:color="auto"/>
                <w:right w:val="none" w:sz="0" w:space="0" w:color="auto"/>
              </w:divBdr>
              <w:divsChild>
                <w:div w:id="19473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61768">
      <w:bodyDiv w:val="1"/>
      <w:marLeft w:val="0"/>
      <w:marRight w:val="0"/>
      <w:marTop w:val="0"/>
      <w:marBottom w:val="0"/>
      <w:divBdr>
        <w:top w:val="none" w:sz="0" w:space="0" w:color="auto"/>
        <w:left w:val="none" w:sz="0" w:space="0" w:color="auto"/>
        <w:bottom w:val="none" w:sz="0" w:space="0" w:color="auto"/>
        <w:right w:val="none" w:sz="0" w:space="0" w:color="auto"/>
      </w:divBdr>
    </w:div>
    <w:div w:id="203373313">
      <w:bodyDiv w:val="1"/>
      <w:marLeft w:val="0"/>
      <w:marRight w:val="0"/>
      <w:marTop w:val="0"/>
      <w:marBottom w:val="0"/>
      <w:divBdr>
        <w:top w:val="none" w:sz="0" w:space="0" w:color="auto"/>
        <w:left w:val="none" w:sz="0" w:space="0" w:color="auto"/>
        <w:bottom w:val="none" w:sz="0" w:space="0" w:color="auto"/>
        <w:right w:val="none" w:sz="0" w:space="0" w:color="auto"/>
      </w:divBdr>
    </w:div>
    <w:div w:id="229196563">
      <w:bodyDiv w:val="1"/>
      <w:marLeft w:val="0"/>
      <w:marRight w:val="0"/>
      <w:marTop w:val="0"/>
      <w:marBottom w:val="0"/>
      <w:divBdr>
        <w:top w:val="none" w:sz="0" w:space="0" w:color="auto"/>
        <w:left w:val="none" w:sz="0" w:space="0" w:color="auto"/>
        <w:bottom w:val="none" w:sz="0" w:space="0" w:color="auto"/>
        <w:right w:val="none" w:sz="0" w:space="0" w:color="auto"/>
      </w:divBdr>
      <w:divsChild>
        <w:div w:id="519317814">
          <w:marLeft w:val="0"/>
          <w:marRight w:val="0"/>
          <w:marTop w:val="0"/>
          <w:marBottom w:val="0"/>
          <w:divBdr>
            <w:top w:val="none" w:sz="0" w:space="0" w:color="auto"/>
            <w:left w:val="none" w:sz="0" w:space="0" w:color="auto"/>
            <w:bottom w:val="none" w:sz="0" w:space="0" w:color="auto"/>
            <w:right w:val="none" w:sz="0" w:space="0" w:color="auto"/>
          </w:divBdr>
          <w:divsChild>
            <w:div w:id="1995838583">
              <w:marLeft w:val="0"/>
              <w:marRight w:val="0"/>
              <w:marTop w:val="0"/>
              <w:marBottom w:val="0"/>
              <w:divBdr>
                <w:top w:val="none" w:sz="0" w:space="0" w:color="auto"/>
                <w:left w:val="none" w:sz="0" w:space="0" w:color="auto"/>
                <w:bottom w:val="none" w:sz="0" w:space="0" w:color="auto"/>
                <w:right w:val="none" w:sz="0" w:space="0" w:color="auto"/>
              </w:divBdr>
              <w:divsChild>
                <w:div w:id="4864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052310">
      <w:bodyDiv w:val="1"/>
      <w:marLeft w:val="0"/>
      <w:marRight w:val="0"/>
      <w:marTop w:val="0"/>
      <w:marBottom w:val="0"/>
      <w:divBdr>
        <w:top w:val="none" w:sz="0" w:space="0" w:color="auto"/>
        <w:left w:val="none" w:sz="0" w:space="0" w:color="auto"/>
        <w:bottom w:val="none" w:sz="0" w:space="0" w:color="auto"/>
        <w:right w:val="none" w:sz="0" w:space="0" w:color="auto"/>
      </w:divBdr>
      <w:divsChild>
        <w:div w:id="1233388942">
          <w:marLeft w:val="240"/>
          <w:marRight w:val="0"/>
          <w:marTop w:val="60"/>
          <w:marBottom w:val="60"/>
          <w:divBdr>
            <w:top w:val="none" w:sz="0" w:space="0" w:color="auto"/>
            <w:left w:val="none" w:sz="0" w:space="0" w:color="auto"/>
            <w:bottom w:val="none" w:sz="0" w:space="0" w:color="auto"/>
            <w:right w:val="none" w:sz="0" w:space="0" w:color="auto"/>
          </w:divBdr>
          <w:divsChild>
            <w:div w:id="47649742">
              <w:marLeft w:val="0"/>
              <w:marRight w:val="0"/>
              <w:marTop w:val="0"/>
              <w:marBottom w:val="0"/>
              <w:divBdr>
                <w:top w:val="none" w:sz="0" w:space="0" w:color="auto"/>
                <w:left w:val="none" w:sz="0" w:space="0" w:color="auto"/>
                <w:bottom w:val="none" w:sz="0" w:space="0" w:color="auto"/>
                <w:right w:val="none" w:sz="0" w:space="0" w:color="auto"/>
              </w:divBdr>
            </w:div>
          </w:divsChild>
        </w:div>
        <w:div w:id="2133356278">
          <w:marLeft w:val="240"/>
          <w:marRight w:val="0"/>
          <w:marTop w:val="60"/>
          <w:marBottom w:val="60"/>
          <w:divBdr>
            <w:top w:val="none" w:sz="0" w:space="0" w:color="auto"/>
            <w:left w:val="none" w:sz="0" w:space="0" w:color="auto"/>
            <w:bottom w:val="none" w:sz="0" w:space="0" w:color="auto"/>
            <w:right w:val="none" w:sz="0" w:space="0" w:color="auto"/>
          </w:divBdr>
          <w:divsChild>
            <w:div w:id="466166336">
              <w:marLeft w:val="0"/>
              <w:marRight w:val="0"/>
              <w:marTop w:val="0"/>
              <w:marBottom w:val="0"/>
              <w:divBdr>
                <w:top w:val="none" w:sz="0" w:space="0" w:color="auto"/>
                <w:left w:val="none" w:sz="0" w:space="0" w:color="auto"/>
                <w:bottom w:val="none" w:sz="0" w:space="0" w:color="auto"/>
                <w:right w:val="none" w:sz="0" w:space="0" w:color="auto"/>
              </w:divBdr>
            </w:div>
          </w:divsChild>
        </w:div>
        <w:div w:id="12340266">
          <w:marLeft w:val="240"/>
          <w:marRight w:val="0"/>
          <w:marTop w:val="60"/>
          <w:marBottom w:val="60"/>
          <w:divBdr>
            <w:top w:val="none" w:sz="0" w:space="0" w:color="auto"/>
            <w:left w:val="none" w:sz="0" w:space="0" w:color="auto"/>
            <w:bottom w:val="none" w:sz="0" w:space="0" w:color="auto"/>
            <w:right w:val="none" w:sz="0" w:space="0" w:color="auto"/>
          </w:divBdr>
          <w:divsChild>
            <w:div w:id="205870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623657">
      <w:bodyDiv w:val="1"/>
      <w:marLeft w:val="0"/>
      <w:marRight w:val="0"/>
      <w:marTop w:val="0"/>
      <w:marBottom w:val="0"/>
      <w:divBdr>
        <w:top w:val="none" w:sz="0" w:space="0" w:color="auto"/>
        <w:left w:val="none" w:sz="0" w:space="0" w:color="auto"/>
        <w:bottom w:val="none" w:sz="0" w:space="0" w:color="auto"/>
        <w:right w:val="none" w:sz="0" w:space="0" w:color="auto"/>
      </w:divBdr>
    </w:div>
    <w:div w:id="419374870">
      <w:bodyDiv w:val="1"/>
      <w:marLeft w:val="0"/>
      <w:marRight w:val="0"/>
      <w:marTop w:val="0"/>
      <w:marBottom w:val="0"/>
      <w:divBdr>
        <w:top w:val="none" w:sz="0" w:space="0" w:color="auto"/>
        <w:left w:val="none" w:sz="0" w:space="0" w:color="auto"/>
        <w:bottom w:val="none" w:sz="0" w:space="0" w:color="auto"/>
        <w:right w:val="none" w:sz="0" w:space="0" w:color="auto"/>
      </w:divBdr>
    </w:div>
    <w:div w:id="529999506">
      <w:bodyDiv w:val="1"/>
      <w:marLeft w:val="0"/>
      <w:marRight w:val="0"/>
      <w:marTop w:val="0"/>
      <w:marBottom w:val="0"/>
      <w:divBdr>
        <w:top w:val="none" w:sz="0" w:space="0" w:color="auto"/>
        <w:left w:val="none" w:sz="0" w:space="0" w:color="auto"/>
        <w:bottom w:val="none" w:sz="0" w:space="0" w:color="auto"/>
        <w:right w:val="none" w:sz="0" w:space="0" w:color="auto"/>
      </w:divBdr>
      <w:divsChild>
        <w:div w:id="8604350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3852610">
      <w:bodyDiv w:val="1"/>
      <w:marLeft w:val="0"/>
      <w:marRight w:val="0"/>
      <w:marTop w:val="0"/>
      <w:marBottom w:val="0"/>
      <w:divBdr>
        <w:top w:val="none" w:sz="0" w:space="0" w:color="auto"/>
        <w:left w:val="none" w:sz="0" w:space="0" w:color="auto"/>
        <w:bottom w:val="none" w:sz="0" w:space="0" w:color="auto"/>
        <w:right w:val="none" w:sz="0" w:space="0" w:color="auto"/>
      </w:divBdr>
    </w:div>
    <w:div w:id="1025448852">
      <w:bodyDiv w:val="1"/>
      <w:marLeft w:val="0"/>
      <w:marRight w:val="0"/>
      <w:marTop w:val="0"/>
      <w:marBottom w:val="0"/>
      <w:divBdr>
        <w:top w:val="none" w:sz="0" w:space="0" w:color="auto"/>
        <w:left w:val="none" w:sz="0" w:space="0" w:color="auto"/>
        <w:bottom w:val="none" w:sz="0" w:space="0" w:color="auto"/>
        <w:right w:val="none" w:sz="0" w:space="0" w:color="auto"/>
      </w:divBdr>
      <w:divsChild>
        <w:div w:id="467630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8722573">
      <w:bodyDiv w:val="1"/>
      <w:marLeft w:val="0"/>
      <w:marRight w:val="0"/>
      <w:marTop w:val="0"/>
      <w:marBottom w:val="0"/>
      <w:divBdr>
        <w:top w:val="none" w:sz="0" w:space="0" w:color="auto"/>
        <w:left w:val="none" w:sz="0" w:space="0" w:color="auto"/>
        <w:bottom w:val="none" w:sz="0" w:space="0" w:color="auto"/>
        <w:right w:val="none" w:sz="0" w:space="0" w:color="auto"/>
      </w:divBdr>
    </w:div>
    <w:div w:id="1439830095">
      <w:bodyDiv w:val="1"/>
      <w:marLeft w:val="0"/>
      <w:marRight w:val="0"/>
      <w:marTop w:val="0"/>
      <w:marBottom w:val="0"/>
      <w:divBdr>
        <w:top w:val="none" w:sz="0" w:space="0" w:color="auto"/>
        <w:left w:val="none" w:sz="0" w:space="0" w:color="auto"/>
        <w:bottom w:val="none" w:sz="0" w:space="0" w:color="auto"/>
        <w:right w:val="none" w:sz="0" w:space="0" w:color="auto"/>
      </w:divBdr>
    </w:div>
    <w:div w:id="1685355535">
      <w:bodyDiv w:val="1"/>
      <w:marLeft w:val="0"/>
      <w:marRight w:val="0"/>
      <w:marTop w:val="0"/>
      <w:marBottom w:val="0"/>
      <w:divBdr>
        <w:top w:val="none" w:sz="0" w:space="0" w:color="auto"/>
        <w:left w:val="none" w:sz="0" w:space="0" w:color="auto"/>
        <w:bottom w:val="none" w:sz="0" w:space="0" w:color="auto"/>
        <w:right w:val="none" w:sz="0" w:space="0" w:color="auto"/>
      </w:divBdr>
      <w:divsChild>
        <w:div w:id="196629055">
          <w:marLeft w:val="0"/>
          <w:marRight w:val="0"/>
          <w:marTop w:val="0"/>
          <w:marBottom w:val="0"/>
          <w:divBdr>
            <w:top w:val="none" w:sz="0" w:space="0" w:color="auto"/>
            <w:left w:val="none" w:sz="0" w:space="0" w:color="auto"/>
            <w:bottom w:val="none" w:sz="0" w:space="0" w:color="auto"/>
            <w:right w:val="none" w:sz="0" w:space="0" w:color="auto"/>
          </w:divBdr>
          <w:divsChild>
            <w:div w:id="407121026">
              <w:marLeft w:val="0"/>
              <w:marRight w:val="0"/>
              <w:marTop w:val="0"/>
              <w:marBottom w:val="0"/>
              <w:divBdr>
                <w:top w:val="none" w:sz="0" w:space="0" w:color="auto"/>
                <w:left w:val="none" w:sz="0" w:space="0" w:color="auto"/>
                <w:bottom w:val="none" w:sz="0" w:space="0" w:color="auto"/>
                <w:right w:val="none" w:sz="0" w:space="0" w:color="auto"/>
              </w:divBdr>
              <w:divsChild>
                <w:div w:id="14250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913199">
      <w:bodyDiv w:val="1"/>
      <w:marLeft w:val="0"/>
      <w:marRight w:val="0"/>
      <w:marTop w:val="0"/>
      <w:marBottom w:val="0"/>
      <w:divBdr>
        <w:top w:val="none" w:sz="0" w:space="0" w:color="auto"/>
        <w:left w:val="none" w:sz="0" w:space="0" w:color="auto"/>
        <w:bottom w:val="none" w:sz="0" w:space="0" w:color="auto"/>
        <w:right w:val="none" w:sz="0" w:space="0" w:color="auto"/>
      </w:divBdr>
      <w:divsChild>
        <w:div w:id="2118715969">
          <w:marLeft w:val="0"/>
          <w:marRight w:val="0"/>
          <w:marTop w:val="0"/>
          <w:marBottom w:val="0"/>
          <w:divBdr>
            <w:top w:val="none" w:sz="0" w:space="0" w:color="auto"/>
            <w:left w:val="none" w:sz="0" w:space="0" w:color="auto"/>
            <w:bottom w:val="none" w:sz="0" w:space="0" w:color="auto"/>
            <w:right w:val="none" w:sz="0" w:space="0" w:color="auto"/>
          </w:divBdr>
          <w:divsChild>
            <w:div w:id="892815014">
              <w:marLeft w:val="0"/>
              <w:marRight w:val="0"/>
              <w:marTop w:val="0"/>
              <w:marBottom w:val="0"/>
              <w:divBdr>
                <w:top w:val="none" w:sz="0" w:space="0" w:color="auto"/>
                <w:left w:val="none" w:sz="0" w:space="0" w:color="auto"/>
                <w:bottom w:val="none" w:sz="0" w:space="0" w:color="auto"/>
                <w:right w:val="none" w:sz="0" w:space="0" w:color="auto"/>
              </w:divBdr>
              <w:divsChild>
                <w:div w:id="125273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664329">
      <w:bodyDiv w:val="1"/>
      <w:marLeft w:val="0"/>
      <w:marRight w:val="0"/>
      <w:marTop w:val="0"/>
      <w:marBottom w:val="0"/>
      <w:divBdr>
        <w:top w:val="none" w:sz="0" w:space="0" w:color="auto"/>
        <w:left w:val="none" w:sz="0" w:space="0" w:color="auto"/>
        <w:bottom w:val="none" w:sz="0" w:space="0" w:color="auto"/>
        <w:right w:val="none" w:sz="0" w:space="0" w:color="auto"/>
      </w:divBdr>
      <w:divsChild>
        <w:div w:id="5045927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9984658">
      <w:bodyDiv w:val="1"/>
      <w:marLeft w:val="0"/>
      <w:marRight w:val="0"/>
      <w:marTop w:val="0"/>
      <w:marBottom w:val="0"/>
      <w:divBdr>
        <w:top w:val="none" w:sz="0" w:space="0" w:color="auto"/>
        <w:left w:val="none" w:sz="0" w:space="0" w:color="auto"/>
        <w:bottom w:val="none" w:sz="0" w:space="0" w:color="auto"/>
        <w:right w:val="none" w:sz="0" w:space="0" w:color="auto"/>
      </w:divBdr>
    </w:div>
    <w:div w:id="214180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www.regulations.gov"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levin@wulaw.wustl.ed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www.gpo.gov/fdsys/pkg/FR-2013-10-28/pdf/2013-253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D3A6D-7414-4F5D-A46E-00A786C48CE2}">
  <ds:schemaRefs>
    <ds:schemaRef ds:uri="http://schemas.openxmlformats.org/officeDocument/2006/bibliography"/>
  </ds:schemaRefs>
</ds:datastoreItem>
</file>

<file path=customXml/itemProps2.xml><?xml version="1.0" encoding="utf-8"?>
<ds:datastoreItem xmlns:ds="http://schemas.openxmlformats.org/officeDocument/2006/customXml" ds:itemID="{103E8C70-88BC-4F4A-8773-68B9DD9F9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18</Pages>
  <Words>5881</Words>
  <Characters>32332</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
    </vt:vector>
  </TitlesOfParts>
  <Company>SEC</Company>
  <LinksUpToDate>false</LinksUpToDate>
  <CharactersWithSpaces>38137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Connor Raso</dc:creator>
  <cp:lastModifiedBy>Administrator</cp:lastModifiedBy>
  <cp:revision>7</cp:revision>
  <cp:lastPrinted>2015-12-16T19:19:00Z</cp:lastPrinted>
  <dcterms:created xsi:type="dcterms:W3CDTF">2015-12-11T20:48:00Z</dcterms:created>
  <dcterms:modified xsi:type="dcterms:W3CDTF">2016-02-16T21:15:00Z</dcterms:modified>
</cp:coreProperties>
</file>